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4FFAB" w14:textId="77777777" w:rsidR="004A7D22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7830A489" w14:textId="77777777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06CCD591" w14:textId="125FD59C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</w:pPr>
      <w:r>
        <w:object w:dxaOrig="8235" w:dyaOrig="2025" w14:anchorId="3EC7A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1.25pt" o:ole="">
            <v:imagedata r:id="rId7" o:title=""/>
          </v:shape>
          <o:OLEObject Type="Embed" ProgID="PBrush" ShapeID="_x0000_i1025" DrawAspect="Content" ObjectID="_1809161683" r:id="rId8"/>
        </w:object>
      </w:r>
    </w:p>
    <w:p w14:paraId="0F7B2BA5" w14:textId="77777777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3E211219" w14:textId="11C75C19" w:rsidR="004A7D22" w:rsidRPr="000A5F78" w:rsidRDefault="005F6188">
      <w:pPr>
        <w:tabs>
          <w:tab w:val="left" w:pos="709"/>
        </w:tabs>
        <w:spacing w:line="288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bookmarkStart w:id="0" w:name="_Hlk158268820"/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SEÇÃO DE LICITAÇÕES E CONTRATOS </w:t>
      </w:r>
    </w:p>
    <w:p w14:paraId="15C00DCB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271"/>
        <w:rPr>
          <w:rFonts w:ascii="Arial" w:eastAsia="Arial" w:hAnsi="Arial" w:cs="Arial"/>
          <w:b/>
          <w:color w:val="000000"/>
          <w:sz w:val="26"/>
          <w:szCs w:val="26"/>
          <w:lang w:val="pt-BR"/>
        </w:rPr>
      </w:pPr>
    </w:p>
    <w:p w14:paraId="03DDEDE1" w14:textId="346D80A2" w:rsidR="004A7D22" w:rsidRPr="000A5F78" w:rsidRDefault="005F6188">
      <w:pPr>
        <w:tabs>
          <w:tab w:val="left" w:pos="709"/>
        </w:tabs>
        <w:spacing w:before="164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COTAÇÃO ELETRÔNICA Nº </w:t>
      </w:r>
      <w:r w:rsidR="00A110D5">
        <w:rPr>
          <w:rFonts w:ascii="Arial" w:eastAsia="Arial" w:hAnsi="Arial" w:cs="Arial"/>
          <w:b/>
          <w:sz w:val="24"/>
          <w:szCs w:val="24"/>
          <w:lang w:val="pt-BR"/>
        </w:rPr>
        <w:t>074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/2025</w:t>
      </w:r>
    </w:p>
    <w:p w14:paraId="73FB8F00" w14:textId="1FAB169B" w:rsidR="004A7D22" w:rsidRPr="000A5F78" w:rsidRDefault="005F6188">
      <w:pPr>
        <w:tabs>
          <w:tab w:val="left" w:pos="709"/>
        </w:tabs>
        <w:spacing w:before="54" w:line="573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EC665D" w:rsidRPr="000A5F78">
        <w:rPr>
          <w:rFonts w:ascii="Arial" w:eastAsia="Arial" w:hAnsi="Arial" w:cs="Arial"/>
          <w:b/>
          <w:sz w:val="24"/>
          <w:szCs w:val="24"/>
          <w:lang w:val="pt-BR"/>
        </w:rPr>
        <w:t>Administrativ</w:t>
      </w:r>
      <w:r w:rsidR="000D0A6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8916CD" w:rsidRPr="000A5F78">
        <w:rPr>
          <w:rFonts w:ascii="Arial" w:eastAsia="Arial" w:hAnsi="Arial" w:cs="Arial"/>
          <w:b/>
          <w:sz w:val="24"/>
          <w:szCs w:val="24"/>
          <w:lang w:val="pt-BR"/>
        </w:rPr>
        <w:t>n. º</w:t>
      </w: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A110D5">
        <w:rPr>
          <w:rFonts w:ascii="Arial" w:eastAsia="Arial" w:hAnsi="Arial" w:cs="Arial"/>
          <w:b/>
          <w:sz w:val="24"/>
          <w:szCs w:val="24"/>
          <w:lang w:val="pt-BR"/>
        </w:rPr>
        <w:t>74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/2025</w:t>
      </w:r>
    </w:p>
    <w:p w14:paraId="14A9F108" w14:textId="77777777" w:rsidR="004A7D22" w:rsidRPr="000A5F78" w:rsidRDefault="005F6188">
      <w:pPr>
        <w:tabs>
          <w:tab w:val="left" w:pos="709"/>
        </w:tabs>
        <w:spacing w:before="54" w:line="573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TERMO DE REFERÊNCIA</w:t>
      </w:r>
    </w:p>
    <w:p w14:paraId="56908776" w14:textId="77777777" w:rsidR="004A7D22" w:rsidRDefault="005F61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0"/>
          <w:tab w:val="left" w:pos="709"/>
        </w:tabs>
        <w:spacing w:before="151"/>
        <w:ind w:left="0" w:firstLine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 OBJETO</w:t>
      </w:r>
    </w:p>
    <w:p w14:paraId="01A9A59E" w14:textId="47710EF3" w:rsidR="004A7D22" w:rsidRPr="002801C5" w:rsidRDefault="002132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74" w:line="288" w:lineRule="auto"/>
        <w:ind w:left="0" w:right="215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>Contratação de empresa especializada em serviço de buffet</w:t>
      </w:r>
      <w:r w:rsidR="005F6188" w:rsidRPr="000A5F78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,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conforme condições, quantidades e exigências estabelecidas neste instrumento:</w:t>
      </w:r>
    </w:p>
    <w:tbl>
      <w:tblPr>
        <w:tblStyle w:val="Tabelacomgrade1"/>
        <w:tblW w:w="8075" w:type="dxa"/>
        <w:tblInd w:w="0" w:type="dxa"/>
        <w:tblLook w:val="04A0" w:firstRow="1" w:lastRow="0" w:firstColumn="1" w:lastColumn="0" w:noHBand="0" w:noVBand="1"/>
      </w:tblPr>
      <w:tblGrid>
        <w:gridCol w:w="988"/>
        <w:gridCol w:w="1417"/>
        <w:gridCol w:w="3977"/>
        <w:gridCol w:w="1693"/>
      </w:tblGrid>
      <w:tr w:rsidR="001F44CF" w:rsidRPr="001F44CF" w14:paraId="202067D2" w14:textId="77777777" w:rsidTr="001F44CF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37F8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eastAsia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0860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UNIDADE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1834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DESCRIÇÃO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47C0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QUANTIDADE</w:t>
            </w:r>
          </w:p>
        </w:tc>
      </w:tr>
      <w:tr w:rsidR="00B87B40" w:rsidRPr="001F44CF" w14:paraId="3C7FDB43" w14:textId="77777777" w:rsidTr="00B87B40">
        <w:trPr>
          <w:trHeight w:val="5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9951" w14:textId="56ED558C" w:rsidR="00B87B40" w:rsidRPr="001F44CF" w:rsidRDefault="00B87B40" w:rsidP="00B87B40">
            <w:pPr>
              <w:tabs>
                <w:tab w:val="left" w:pos="709"/>
              </w:tabs>
              <w:spacing w:before="4"/>
              <w:rPr>
                <w:rFonts w:cs="Calibri"/>
                <w:color w:val="000000"/>
                <w:lang w:val="pt-BR"/>
              </w:rPr>
            </w:pPr>
            <w:r w:rsidRPr="003052EB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6A7B" w14:textId="4B96BD39" w:rsidR="00B87B40" w:rsidRPr="001F44CF" w:rsidRDefault="007337F8" w:rsidP="00B87B40">
            <w:pPr>
              <w:tabs>
                <w:tab w:val="left" w:pos="709"/>
              </w:tabs>
              <w:spacing w:before="4"/>
              <w:rPr>
                <w:rFonts w:cs="Calibri"/>
                <w:color w:val="000000"/>
                <w:lang w:val="pt-BR"/>
              </w:rPr>
            </w:pPr>
            <w:proofErr w:type="spellStart"/>
            <w:r>
              <w:rPr>
                <w:rFonts w:ascii="Arial" w:hAnsi="Arial" w:cs="Arial"/>
              </w:rPr>
              <w:t>Por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pessoa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B10C" w14:textId="172B0662" w:rsidR="00B87B40" w:rsidRPr="004C0D3D" w:rsidRDefault="002132E8" w:rsidP="002743E3">
            <w:pPr>
              <w:spacing w:after="160" w:line="259" w:lineRule="auto"/>
              <w:jc w:val="both"/>
              <w:rPr>
                <w:rFonts w:eastAsia="Calibri" w:cs="Arial"/>
                <w:lang w:val="pt-BR"/>
              </w:rPr>
            </w:pPr>
            <w:r>
              <w:rPr>
                <w:rFonts w:eastAsia="Calibri" w:cs="Arial"/>
                <w:lang w:val="pt-BR"/>
              </w:rPr>
              <w:t>Serviço de buffet para servir coquetel volante em evento da Câmara Municipal de Arroio Grande, sendo o valor por pessoa tomado como referência.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453" w14:textId="7F07D5F2" w:rsidR="00B87B40" w:rsidRPr="001F44CF" w:rsidRDefault="002132E8" w:rsidP="00B87B40">
            <w:pPr>
              <w:tabs>
                <w:tab w:val="left" w:pos="709"/>
              </w:tabs>
              <w:spacing w:before="4"/>
              <w:jc w:val="center"/>
              <w:rPr>
                <w:rFonts w:eastAsia="Arial" w:cs="Calibri"/>
                <w:color w:val="000000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</w:tbl>
    <w:p w14:paraId="267BD9E5" w14:textId="680EC0EA" w:rsidR="004A7D22" w:rsidRDefault="005F6188" w:rsidP="00CE3ADA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"/>
      </w:pPr>
      <w:r>
        <w:rPr>
          <w:rFonts w:ascii="Arial" w:eastAsia="Arial" w:hAnsi="Arial" w:cs="Arial"/>
        </w:rPr>
        <w:t>JUSTIFICATIVA E OBJETIVO DA CONTRATAÇÃO</w:t>
      </w:r>
    </w:p>
    <w:p w14:paraId="10FC8AAE" w14:textId="0B66B117" w:rsidR="005C5D48" w:rsidRPr="00182066" w:rsidRDefault="002743E3" w:rsidP="005C5D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4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bookmarkStart w:id="1" w:name="_GoBack"/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referida 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>contratação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tem por finalidade atender a demanda do setor requisitante, conforme descrição detalhada, visando </w:t>
      </w:r>
      <w:r w:rsidR="00134A89">
        <w:rPr>
          <w:rFonts w:ascii="Arial" w:eastAsia="Arial" w:hAnsi="Arial" w:cs="Arial"/>
          <w:color w:val="000000"/>
          <w:sz w:val="24"/>
          <w:szCs w:val="24"/>
          <w:lang w:val="pt-BR"/>
        </w:rPr>
        <w:t>promover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adequadamente</w:t>
      </w:r>
      <w:r w:rsidR="00134A89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evento que ocorrerá no recinto da Câmara Municipal.</w:t>
      </w:r>
    </w:p>
    <w:bookmarkEnd w:id="1"/>
    <w:p w14:paraId="05ED026A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/>
        <w:ind w:left="0" w:firstLine="0"/>
      </w:pPr>
      <w:r>
        <w:rPr>
          <w:rFonts w:ascii="Arial" w:eastAsia="Arial" w:hAnsi="Arial" w:cs="Arial"/>
        </w:rPr>
        <w:t>CLASSIFICAÇÃO DOS BENS COMUNS</w:t>
      </w:r>
    </w:p>
    <w:p w14:paraId="7082554D" w14:textId="35D6909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Consideram-se bens e serviços comuns, para os fin</w:t>
      </w:r>
      <w:r w:rsidR="0089722C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aqueles cujos padrões de desempenho e qualidade possam ser objetivamente definidos no Termo de Referência, por meio de especificações usuais no mercado.</w:t>
      </w:r>
    </w:p>
    <w:p w14:paraId="530F5F09" w14:textId="77777777" w:rsidR="004A7D22" w:rsidRPr="000A5F78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84"/>
        <w:ind w:left="0" w:firstLine="0"/>
        <w:rPr>
          <w:lang w:val="pt-BR"/>
        </w:rPr>
      </w:pPr>
      <w:r w:rsidRPr="000A5F78">
        <w:rPr>
          <w:rFonts w:ascii="Arial" w:eastAsia="Arial" w:hAnsi="Arial" w:cs="Arial"/>
          <w:lang w:val="pt-BR"/>
        </w:rPr>
        <w:t>ENTREGA E CRITÉRIOS DE ACEITAÇÃO DO OBJETO.</w:t>
      </w:r>
    </w:p>
    <w:p w14:paraId="0FBDC40C" w14:textId="12067DAE" w:rsidR="004A7D22" w:rsidRPr="000A5F78" w:rsidRDefault="00A110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>A execução do serviço ocorrerá no dia 22 de maio do corrente ano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em evento a ser iniciado às 19 horas, devendo a empresa realizar os preparativos e demais serviços associados em tempo razoável e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em remessa única a ser definida pelo contratante, no seguinte endereço: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Rua Doutor Monteiro,185, 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centro Arroio Grande RS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7E16C9C9" w14:textId="49CD680F" w:rsidR="004A7D22" w:rsidRPr="000A5F78" w:rsidRDefault="001672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3" w:line="288" w:lineRule="auto"/>
        <w:ind w:left="0" w:right="210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</w:t>
      </w:r>
      <w:r w:rsidR="00A110D5">
        <w:rPr>
          <w:rFonts w:ascii="Arial" w:eastAsia="Arial" w:hAnsi="Arial" w:cs="Arial"/>
          <w:color w:val="000000"/>
          <w:sz w:val="24"/>
          <w:szCs w:val="24"/>
          <w:lang w:val="pt-BR"/>
        </w:rPr>
        <w:t>objeto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poderá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ser rejeitado, no todo ou em parte, quando em desacordo com as especificações constantes neste Termo de Referência e na proposta, devendo ser 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substituído</w:t>
      </w:r>
      <w:r w:rsidR="00A110D5">
        <w:rPr>
          <w:rFonts w:ascii="Arial" w:eastAsia="Arial" w:hAnsi="Arial" w:cs="Arial"/>
          <w:color w:val="000000"/>
          <w:sz w:val="24"/>
          <w:szCs w:val="24"/>
          <w:lang w:val="pt-BR"/>
        </w:rPr>
        <w:t>/reparado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="00A110D5">
        <w:rPr>
          <w:rFonts w:ascii="Arial" w:eastAsia="Arial" w:hAnsi="Arial" w:cs="Arial"/>
          <w:color w:val="000000"/>
          <w:sz w:val="24"/>
          <w:szCs w:val="24"/>
          <w:lang w:val="pt-BR"/>
        </w:rPr>
        <w:t>imediatamente após recebimento de notificação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às suas custas</w:t>
      </w:r>
      <w:r w:rsidR="00A110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sem prejuízo da aplicação das penalidades.</w:t>
      </w:r>
    </w:p>
    <w:p w14:paraId="4B482485" w14:textId="6414E300" w:rsidR="004A7D22" w:rsidRPr="000A5F78" w:rsidRDefault="00A110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5" w:line="288" w:lineRule="auto"/>
        <w:ind w:left="0" w:right="210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objeto será recebido definitivamente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após a verificação da qualidade e quantidade do material 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e dos serviços disponibilizados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2D55236B" w14:textId="7C60AC27" w:rsidR="004A7D22" w:rsidRPr="00182066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recebimento provisório ou definitivo do objeto não exclui a responsabilidade da contratada pelos prejuízos resultantes da incorreta execução do 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363C7DEA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/>
        <w:ind w:left="0" w:firstLine="0"/>
      </w:pPr>
      <w:r>
        <w:rPr>
          <w:rFonts w:ascii="Arial" w:eastAsia="Arial" w:hAnsi="Arial" w:cs="Arial"/>
        </w:rPr>
        <w:t>OBRIGAÇÕES DA CONTRATANTE</w:t>
      </w:r>
    </w:p>
    <w:p w14:paraId="49B73CC5" w14:textId="77777777" w:rsidR="004A7D22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/>
        <w:ind w:left="0" w:firstLine="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São obrigações da Contratante:</w:t>
      </w:r>
    </w:p>
    <w:p w14:paraId="15A32557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receber o objeto no prazo e condições estabelecidas no Termo de Referência e seus anexos;</w:t>
      </w:r>
    </w:p>
    <w:p w14:paraId="2EDC30EE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verificar minuciosamente, no prazo fixado, a conformidade dos bens recebidos provisoriamente com as especificações constantes do Termo de Referência e da proposta, para fins de aceitação e recebimento definitivo;</w:t>
      </w:r>
    </w:p>
    <w:p w14:paraId="504DE86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1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comunicar à Contratada, por escrito, sobre imperfeições, falhas ou irregularidades verificadas no objeto fornecido, para que seja substituído, reparado ou corrigido;</w:t>
      </w:r>
    </w:p>
    <w:p w14:paraId="57D8F435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acompanhar e fiscalizar o cumprimento das obrigações da Contratada, através de comissão/servidor especialmente designado;</w:t>
      </w:r>
    </w:p>
    <w:p w14:paraId="391D71B7" w14:textId="45A9313D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9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efetuar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o pagamento à Cont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>ratada no valor correspondente à execução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 objeto, no prazo e forma estabelecidos no Termo de Referência e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em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seus anexos;</w:t>
      </w:r>
    </w:p>
    <w:p w14:paraId="577DF8E4" w14:textId="07B7DD96" w:rsidR="004A7D22" w:rsidRPr="00182066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64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Administração não responderá por quaisquer compromissos assumidos pela Contratada com terceiros, ainda que vinculados à execução do presente Termo de Referência, bem como por qualquer dano causado a terceiros em decorrência de ato da Contratada, de seus empregados, prepostos ou subordinados.</w:t>
      </w:r>
    </w:p>
    <w:p w14:paraId="16C21E2B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/>
        <w:ind w:left="0" w:firstLine="0"/>
      </w:pPr>
      <w:r>
        <w:rPr>
          <w:rFonts w:ascii="Arial" w:eastAsia="Arial" w:hAnsi="Arial" w:cs="Arial"/>
        </w:rPr>
        <w:t>OBRIGAÇÕES DA CONTRATADA</w:t>
      </w:r>
    </w:p>
    <w:p w14:paraId="300C1B35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Contratada deve cumprir todas as obrigações constantes no Termo de Referência, seus anexos e sua proposta, assumindo como exclusivamente seus os riscos e as despesas decorrentes da boa e perfeita execução do objeto e, ainda:</w:t>
      </w:r>
    </w:p>
    <w:p w14:paraId="5B7C93F3" w14:textId="77CE6987" w:rsidR="004A7D22" w:rsidRPr="000A5F78" w:rsidRDefault="009B674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color w:val="000000"/>
          <w:lang w:val="pt-BR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  <w:lang w:val="pt-BR"/>
        </w:rPr>
        <w:t>efetuar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o cumprimento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do objeto 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adequadamente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conforme especificações, prazo e local constantes no Termo de Referência e 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em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seus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 xml:space="preserve">anexos, acompanhado da respectiva nota fiscal, na qual constarão as indicações referentes a: </w:t>
      </w:r>
      <w:r w:rsidR="005F6188" w:rsidRPr="000A5F78">
        <w:rPr>
          <w:rFonts w:ascii="Arial" w:eastAsia="Arial" w:hAnsi="Arial" w:cs="Arial"/>
          <w:i/>
          <w:color w:val="000000"/>
          <w:sz w:val="24"/>
          <w:szCs w:val="24"/>
          <w:lang w:val="pt-BR"/>
        </w:rPr>
        <w:t>marca, fabricante, modelo, procedência e prazo de garantia ou validade;</w:t>
      </w:r>
    </w:p>
    <w:p w14:paraId="5544A6F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5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responsabilizar-se pelos vícios e danos decorrentes do objeto, de acordo com os artigos 12, 13 e 17 a 27, do Código de Defesa do Consumidor (Lei nº 8.078, de 1990);</w:t>
      </w:r>
    </w:p>
    <w:p w14:paraId="45C756AF" w14:textId="30FE9CF2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5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substituir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reparar ou corrigir, às suas expensas</w:t>
      </w:r>
      <w:r w:rsidR="009B6744">
        <w:rPr>
          <w:rFonts w:ascii="Arial" w:eastAsia="Arial" w:hAnsi="Arial" w:cs="Arial"/>
          <w:color w:val="000000"/>
          <w:sz w:val="24"/>
          <w:szCs w:val="24"/>
          <w:lang w:val="pt-BR"/>
        </w:rPr>
        <w:t>,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o objeto com avarias ou defeitos;</w:t>
      </w:r>
    </w:p>
    <w:p w14:paraId="0B554D72" w14:textId="18D08F93" w:rsidR="004A7D22" w:rsidRPr="000A5F78" w:rsidRDefault="009B674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color w:val="000000"/>
          <w:lang w:val="pt-BR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  <w:lang w:val="pt-BR"/>
        </w:rPr>
        <w:t>comunicar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à Contratante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os motivos que impossibilitem o cumprimento do prazo previsto, com a devida comprovação;</w:t>
      </w:r>
    </w:p>
    <w:p w14:paraId="6288C808" w14:textId="02726B89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manter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durante toda a execução do 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em compatibilidade com as obrigações assumidas, todas as condições de habilitação e qualificação exigidas na licitação;</w:t>
      </w:r>
    </w:p>
    <w:p w14:paraId="1A0407ED" w14:textId="4C9AE987" w:rsidR="004A7D22" w:rsidRPr="00182066" w:rsidRDefault="005F6188" w:rsidP="001820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/>
        <w:ind w:left="0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indicar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preposto para representá-la durante a execução 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do 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27B0D5AF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46025219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DA SUBCONTRATAÇÃO</w:t>
      </w:r>
    </w:p>
    <w:p w14:paraId="40D0C42D" w14:textId="40AAAF76" w:rsidR="004A7D22" w:rsidRPr="00182066" w:rsidRDefault="001A3A33" w:rsidP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9"/>
        </w:tabs>
        <w:spacing w:before="174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7.1. Não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será admitida a subcontratação do objeto licitatório.</w:t>
      </w:r>
    </w:p>
    <w:p w14:paraId="2402D4CE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1BAAB03D" w14:textId="77777777" w:rsidR="004A7D22" w:rsidRPr="000A5F78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  <w:rPr>
          <w:lang w:val="pt-BR"/>
        </w:rPr>
      </w:pPr>
      <w:r w:rsidRPr="000A5F78">
        <w:rPr>
          <w:rFonts w:ascii="Arial" w:eastAsia="Arial" w:hAnsi="Arial" w:cs="Arial"/>
          <w:lang w:val="pt-BR"/>
        </w:rPr>
        <w:t>DO CONTROLE E FISCALIZAÇÃO DA EXECUÇÃO</w:t>
      </w:r>
    </w:p>
    <w:p w14:paraId="7E37DFFC" w14:textId="3769BA29" w:rsidR="004A7D22" w:rsidRPr="000A5F78" w:rsidRDefault="00A110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>A adequação dos serviços prestados com o objeto pretendido será verificada e acompanhada por representante da Administração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notificando a Contratada, quando necessário, a respeito de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todas as ocorrências relacionadas com a execução e determinando o que for necessário à regularização de falhas ou defeitos observados.</w:t>
      </w:r>
    </w:p>
    <w:p w14:paraId="4098BFDB" w14:textId="21D6E5BC" w:rsidR="004A7D22" w:rsidRPr="009B6744" w:rsidRDefault="00A110D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64" w:line="288" w:lineRule="auto"/>
        <w:ind w:left="0" w:right="214" w:firstLine="0"/>
        <w:jc w:val="both"/>
        <w:rPr>
          <w:color w:val="000000"/>
          <w:sz w:val="24"/>
          <w:szCs w:val="24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>O acompanhamento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que trata este item não exclui nem reduz a responsabilidade da Contratada, inclusive perante terceiros, p</w:t>
      </w:r>
      <w:r w:rsidR="005F6188" w:rsidRPr="009B6744">
        <w:rPr>
          <w:rFonts w:ascii="Arial" w:eastAsia="Arial" w:hAnsi="Arial" w:cs="Arial"/>
          <w:color w:val="000000"/>
          <w:sz w:val="24"/>
          <w:szCs w:val="24"/>
          <w:lang w:val="pt-BR"/>
        </w:rPr>
        <w:t>or qualquer irregularidade, ainda que resultante de imperfeições técnicas ou vícios redibitórios, e, na ocorrência desta, não implica em corresponsabilidade da Administração ou de seus agentes e prepostos</w:t>
      </w:r>
      <w:r w:rsidR="00571A5A" w:rsidRPr="009B6744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0388B497" w14:textId="77777777" w:rsidR="004A7D22" w:rsidRPr="009B6744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5"/>
        <w:ind w:left="0" w:firstLine="0"/>
      </w:pPr>
      <w:r w:rsidRPr="009B6744">
        <w:rPr>
          <w:rFonts w:ascii="Arial" w:eastAsia="Arial" w:hAnsi="Arial" w:cs="Arial"/>
        </w:rPr>
        <w:t>DO PAGAMENTO</w:t>
      </w:r>
    </w:p>
    <w:p w14:paraId="2E84BBB4" w14:textId="143F6104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pagamento será realizado no prazo máximo de até 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05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cinco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) dias</w:t>
      </w:r>
      <w:r w:rsidR="00062B0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úteis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contados a partir do recebimento da Nota Fiscal ou Fatura, através de ordem bancária, para crédito em banco, agência e </w:t>
      </w:r>
      <w:r w:rsidR="0016720E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conta corrente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indicados pelo contratado.</w:t>
      </w:r>
    </w:p>
    <w:p w14:paraId="3521C0BB" w14:textId="494A9032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Considera-se ocorrido o recebimento da nota fiscal ou fatura no momento em que o órgão contratante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atestar a execução do 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6AEBA5B1" w14:textId="27DA1860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0"/>
        </w:tabs>
        <w:spacing w:before="118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Nota Fiscal ou Fatura deverá ser obrigatoriamente acompanhada da comprovação da regularidade fiscal, constatada por meio de consulta on-line, mediante consulta aos sítios eletrônicos oficiais</w:t>
      </w:r>
      <w:r w:rsidR="00056BC4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583EDAC5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7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7E5BAA6E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20"/>
        </w:tabs>
        <w:spacing w:before="112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Será considerada data do pagamento o dia em que constar como emitida a ordem bancária para pagamento.</w:t>
      </w:r>
    </w:p>
    <w:p w14:paraId="1DA62943" w14:textId="027CD613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Antes de cada pagamento à contratada, será realizada consulta a</w:t>
      </w:r>
      <w:r w:rsidR="001E1521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condições de habilitação exigidas no Termo de Referência.</w:t>
      </w:r>
    </w:p>
    <w:p w14:paraId="0A89A704" w14:textId="2EB3FEC1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8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Constatando-se a situação de irregularidade da contratada, será providenciada sua notificação, por escrito, para que, no prazo de 5 (cinco) dias úteis, regularize sua situação ou, no mesmo prazo, apresente sua defesa. O prazo poderá ser prorrogado uma vez, por igual período, a critério da contratante.</w:t>
      </w:r>
    </w:p>
    <w:p w14:paraId="5DD8F65B" w14:textId="472E48C2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5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Previamente à emissão de nota de empenho e a cada pagamento, a Administração deverá realizar consulta para identificar possível suspensão temporária de </w:t>
      </w:r>
      <w:r w:rsidRPr="000A5F78">
        <w:rPr>
          <w:rFonts w:ascii="Arial" w:eastAsia="Arial" w:hAnsi="Arial" w:cs="Arial"/>
          <w:color w:val="000000"/>
          <w:lang w:val="pt-BR"/>
        </w:rPr>
        <w:t>participação em licitação, no âmbito do órgão ou entidade, proibição de contratar com o Poder Público, bem como ocorrências impeditivas indireta.</w:t>
      </w:r>
    </w:p>
    <w:p w14:paraId="676FD9D9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7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Não havendo regularização ou sendo a defesa considerada improcedente, a contratante deverá comunicar aos órgãos responsáveis pela fiscalização da regularidade fiscal quanto à inadimplência da contratada, bem como quanto à existência de pagamento a ser efetuado, para que sejam acionados os meios pertinentes e necessários para garantir o recebimento de seus créditos.</w:t>
      </w:r>
    </w:p>
    <w:p w14:paraId="49053D09" w14:textId="192DA9DC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4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Persistindo a irregularidade, a contratante deverá adotar as medidas necessárias nos autos do processo administrativo correspondente, assegurada à contratada a ampla defesa.</w:t>
      </w:r>
    </w:p>
    <w:p w14:paraId="69036EFD" w14:textId="77E2B1CD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Havendo a efetiva execução do objeto, os pagamentos serão realizados normalmente, até que se decida pela não ex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ecução do 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caso a contratada não regularize sua situação</w:t>
      </w:r>
      <w:r w:rsidR="00873813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</w:p>
    <w:p w14:paraId="16ACC74F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5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Quando do pagamento, será efetuada a retenção tributária prevista na legislação aplicável.</w:t>
      </w:r>
    </w:p>
    <w:p w14:paraId="08CEA76E" w14:textId="2B147892" w:rsidR="004A7D22" w:rsidRPr="00182066" w:rsidRDefault="005F6188" w:rsidP="001820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40"/>
        </w:tabs>
        <w:spacing w:before="118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7AF9CDD8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5C5AE216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DO REAJUSTE</w:t>
      </w:r>
    </w:p>
    <w:p w14:paraId="0FF71D78" w14:textId="27F6C4F9" w:rsidR="004A7D22" w:rsidRPr="00182066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before="174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Os preços são fixos e irreajustáveis no prazo de um ano contado da data limite para a apresentação das propostas.</w:t>
      </w:r>
    </w:p>
    <w:p w14:paraId="163231EE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/>
        <w:ind w:left="0" w:firstLine="0"/>
      </w:pPr>
      <w:r>
        <w:rPr>
          <w:rFonts w:ascii="Arial" w:eastAsia="Arial" w:hAnsi="Arial" w:cs="Arial"/>
        </w:rPr>
        <w:t>DAS SANÇÕES ADMINISTRATIVAS</w:t>
      </w:r>
    </w:p>
    <w:p w14:paraId="1EB226D1" w14:textId="004F26D0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before="174" w:line="288" w:lineRule="auto"/>
        <w:ind w:left="0" w:right="21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Comete infração administrativ</w:t>
      </w:r>
      <w:r w:rsidR="001D5632">
        <w:rPr>
          <w:rFonts w:ascii="Arial" w:eastAsia="Arial" w:hAnsi="Arial" w:cs="Arial"/>
          <w:color w:val="000000"/>
          <w:sz w:val="24"/>
          <w:szCs w:val="24"/>
          <w:lang w:val="pt-BR"/>
        </w:rPr>
        <w:t>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 Contratada que:</w:t>
      </w:r>
    </w:p>
    <w:p w14:paraId="3387F1F9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proofErr w:type="spell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inexecutar</w:t>
      </w:r>
      <w:proofErr w:type="spell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total ou parcialmente qualquer das obrigações assumidas em decorrência da contratação;</w:t>
      </w:r>
    </w:p>
    <w:p w14:paraId="015AB354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ensejar o retardamento da execução do objeto;</w:t>
      </w:r>
    </w:p>
    <w:p w14:paraId="0F9E5724" w14:textId="22B8B89C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falhar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ou fraudar na execução do 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;</w:t>
      </w:r>
    </w:p>
    <w:p w14:paraId="4881A757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comportar-se de modo inidôneo;</w:t>
      </w:r>
    </w:p>
    <w:p w14:paraId="30FDA0D7" w14:textId="77777777" w:rsidR="004A7D22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cometer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fraude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fiscal;</w:t>
      </w:r>
    </w:p>
    <w:p w14:paraId="40A98A7A" w14:textId="40EF4665" w:rsidR="004A7D22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/>
        <w:rPr>
          <w:rFonts w:ascii="Arial" w:eastAsia="Arial" w:hAnsi="Arial" w:cs="Arial"/>
          <w:color w:val="000000"/>
          <w:sz w:val="28"/>
          <w:szCs w:val="28"/>
        </w:rPr>
      </w:pPr>
    </w:p>
    <w:p w14:paraId="4332328D" w14:textId="37CC4429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line="288" w:lineRule="auto"/>
        <w:ind w:left="0" w:right="18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Pela inexecução </w:t>
      </w:r>
      <w:r w:rsidRPr="000A5F78">
        <w:rPr>
          <w:rFonts w:ascii="Arial" w:eastAsia="Arial" w:hAnsi="Arial" w:cs="Arial"/>
          <w:color w:val="000000"/>
          <w:sz w:val="24"/>
          <w:szCs w:val="24"/>
          <w:u w:val="single"/>
          <w:lang w:val="pt-BR"/>
        </w:rPr>
        <w:t>total ou parcial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 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 Administração pode aplicar à CONTRATADA as seguintes sanções:</w:t>
      </w:r>
    </w:p>
    <w:p w14:paraId="77CA28F4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2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Advertência, por faltas leves, assim entendidas aquelas que não acarretem prejuízos significativos para a Contratante;</w:t>
      </w:r>
    </w:p>
    <w:p w14:paraId="219221C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multa moratória de 1% (um por cento) por dia de atraso injustificado sobre o valor da parcela inadimplida, até o limite de 30 (trinta) dias;</w:t>
      </w:r>
    </w:p>
    <w:p w14:paraId="7E25F8E6" w14:textId="1CE5497E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20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multa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compensatória de 10% (dez por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cento) sobre o valor total do 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no caso de inexecução total do objeto;</w:t>
      </w:r>
    </w:p>
    <w:p w14:paraId="11CA7F3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em caso de inexecução parcial, a multa compensatória, no mesmo percentual do subitem acima, será aplicada de forma proporcional à obrigação inadimplida;</w:t>
      </w:r>
    </w:p>
    <w:p w14:paraId="207E93E2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suspensão de licitar e impedimento de contratar com o órgão, entidade ou unidade administrativa pela qual a Administração Pública opera e atua concretamente, pelo prazo de até dois anos;</w:t>
      </w:r>
    </w:p>
    <w:p w14:paraId="32FBFC1A" w14:textId="342C2E23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2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impedimento de licitar e contratar com órgãos e entidades da </w:t>
      </w:r>
      <w:r w:rsidR="007B2DA3">
        <w:rPr>
          <w:rFonts w:ascii="Arial" w:eastAsia="Arial" w:hAnsi="Arial" w:cs="Arial"/>
          <w:color w:val="000000"/>
          <w:sz w:val="24"/>
          <w:szCs w:val="24"/>
          <w:lang w:val="pt-BR"/>
        </w:rPr>
        <w:t>Administração Pública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pelo prazo de até cinco anos;</w:t>
      </w:r>
    </w:p>
    <w:p w14:paraId="0803315D" w14:textId="6E9B6D72" w:rsidR="004A7D22" w:rsidRPr="000A5F78" w:rsidRDefault="005F61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4" w:line="288" w:lineRule="auto"/>
        <w:ind w:right="183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11.2.6.1. A sanção de impedimento de licitar e contratar prevista neste subitem também é aplicável em quaisquer das hipóteses previstas como infração administrativa</w:t>
      </w:r>
      <w:r w:rsidR="00FC1E7F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7D896DE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5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causados;</w:t>
      </w:r>
    </w:p>
    <w:p w14:paraId="151555F2" w14:textId="1083A95D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95"/>
        </w:tabs>
        <w:spacing w:before="117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Também ficam sujeitas às penalidades</w:t>
      </w:r>
      <w:r w:rsidR="00CD079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as empresas ou profissionais que:</w:t>
      </w:r>
    </w:p>
    <w:p w14:paraId="6E8EEE7E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tenham sofrido condenação definitiva por praticar, por meio dolosos, fraude fiscal no recolhimento de quaisquer tributos;</w:t>
      </w:r>
    </w:p>
    <w:p w14:paraId="7C603FD8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tenham praticado atos ilícitos visando a frustrar os objetivos da licitação;</w:t>
      </w:r>
    </w:p>
    <w:p w14:paraId="137E4D37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7"/>
        <w:rPr>
          <w:rFonts w:ascii="Arial" w:eastAsia="Arial" w:hAnsi="Arial" w:cs="Arial"/>
          <w:color w:val="000000"/>
          <w:sz w:val="25"/>
          <w:szCs w:val="25"/>
          <w:lang w:val="pt-BR"/>
        </w:rPr>
      </w:pPr>
    </w:p>
    <w:p w14:paraId="6F64E150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demonstrem não possuir idoneidade para contratar com a Administração em virtude de atos ilícitos praticados.</w:t>
      </w:r>
    </w:p>
    <w:p w14:paraId="0C24ABF5" w14:textId="6D12EDC4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7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aplicação de qualquer das penalidades previstas realizar-se-á em processo administrativo que assegurará o contraditório e a ampla defesa à Contratada, observando-se o procedimento previsto na Lei nº 14133</w:t>
      </w:r>
      <w:r w:rsidR="00231E35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75E58D13" w14:textId="0E6E25FE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17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As multas devidas e/ou prejuízos causados à Contratante serão deduzidos dos valores a serem pagos, ou recolhidos em favor d</w:t>
      </w:r>
      <w:r w:rsidR="00AF5C84">
        <w:rPr>
          <w:rFonts w:ascii="Arial" w:eastAsia="Arial" w:hAnsi="Arial" w:cs="Arial"/>
          <w:color w:val="000000"/>
          <w:sz w:val="24"/>
          <w:szCs w:val="24"/>
          <w:lang w:val="pt-BR"/>
        </w:rPr>
        <w:t>o Município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ou deduzidos da garantia, ou ainda, quando for o caso, serão inscritos na Dívida Ativa d</w:t>
      </w:r>
      <w:r w:rsidR="00AF5C84">
        <w:rPr>
          <w:rFonts w:ascii="Arial" w:eastAsia="Arial" w:hAnsi="Arial" w:cs="Arial"/>
          <w:color w:val="000000"/>
          <w:sz w:val="24"/>
          <w:szCs w:val="24"/>
          <w:lang w:val="pt-BR"/>
        </w:rPr>
        <w:t>o Município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 cobrados judicialmente.</w:t>
      </w:r>
    </w:p>
    <w:p w14:paraId="0261FF27" w14:textId="52E52609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5" w:line="288" w:lineRule="auto"/>
        <w:ind w:left="0" w:right="18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Caso o valor da multa não seja suficiente para cobrir os prejuízos causados pela conduta do licitante, a</w:t>
      </w:r>
      <w:r w:rsidR="007370B2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Entidade poderá cobrar o valor remanescente judicialmente, conforme artigo 419 do Código Civil.</w:t>
      </w:r>
    </w:p>
    <w:p w14:paraId="0486285B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7" w:line="288" w:lineRule="auto"/>
        <w:ind w:left="0" w:right="18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14:paraId="4A9F559A" w14:textId="11BF1EE6" w:rsidR="004A7D22" w:rsidRPr="000D0A60" w:rsidRDefault="005F6188" w:rsidP="000D0A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64" w:line="288" w:lineRule="auto"/>
        <w:ind w:left="0" w:right="217" w:firstLine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Se, durante o processo de aplicação de penalidade, se houver indícios de prática de infração administrativa tipificada pela Lei nº 12.846, de 1º de agosto de 2013, como ato lesivo à administração pública nacional ou estrangeira, cópias dos processos administrativos necessários à apuração da responsabilidade da empresa deverão ser remetidas à autoridade competente, com despacho fundamentado, para ciência e</w:t>
      </w:r>
      <w:r w:rsid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decisão sobre a eventual instauração de investigação preliminar ou Processo </w:t>
      </w:r>
      <w:r w:rsidR="00EC665D"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Administrativ</w:t>
      </w:r>
      <w:r w:rsid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</w:t>
      </w: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de Responsabilização – PAR.</w:t>
      </w:r>
    </w:p>
    <w:p w14:paraId="5DA3D81D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118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apuração e o julgamento das demais infrações administrativas não consideradas como ato lesivo à Administração Pública nacional ou estrangeira nos termos da Lei nº 12.846, de 1º de agosto de 2013, seguirão seu rito normal na unidade administrativa.</w:t>
      </w:r>
    </w:p>
    <w:p w14:paraId="3DF32BDB" w14:textId="3D0960ED" w:rsidR="004A7D22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processamento do PAR não interfere no seguimento regular dos processos administrativos específicos para apuração da ocorrência de danos e prejuízos à Administração Pública resultantes de ato lesivo cometido por pessoa jurídica, com ou sem a participação de agente públic</w:t>
      </w:r>
      <w:r w:rsidR="008219DF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o.</w:t>
      </w:r>
    </w:p>
    <w:p w14:paraId="46FE381E" w14:textId="2A899421" w:rsidR="00B87B40" w:rsidRPr="00182066" w:rsidRDefault="00B87B40" w:rsidP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right="209"/>
        <w:jc w:val="both"/>
        <w:rPr>
          <w:color w:val="000000"/>
          <w:lang w:val="pt-BR"/>
        </w:rPr>
      </w:pPr>
    </w:p>
    <w:p w14:paraId="34E63B1D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DESPACHO DO ORDENADOR DE DESPESAS</w:t>
      </w:r>
    </w:p>
    <w:p w14:paraId="038FE345" w14:textId="114CDC56" w:rsidR="004A7D22" w:rsidRPr="00D07FEF" w:rsidRDefault="00C4587F" w:rsidP="00D07FE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74" w:line="288" w:lineRule="auto"/>
        <w:ind w:right="213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ab/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documento apresentado descreve de maneira adequada o planejamento da contratação, permitindo a avaliação de custos e demandas, e possui anexo os orçamentos e planilhas de preços de mercado, definindo a sistemática de suprimento, critérios de aceitação do objeto, deveres do Licitante e da Administração, procedimentos de fiscalização e gerenciamento, prazos de entrega e a possibilidade de sanções administrativas, de forma clara, concisa e objetiva.</w:t>
      </w:r>
    </w:p>
    <w:p w14:paraId="420E764E" w14:textId="4CAD8DBB" w:rsidR="004A7D22" w:rsidRPr="000A5F78" w:rsidRDefault="00C4587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88" w:lineRule="auto"/>
        <w:ind w:right="215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ab/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Dessa forma, aprovo o presente Termo de Referência.</w:t>
      </w:r>
    </w:p>
    <w:p w14:paraId="3E71548C" w14:textId="7452981A" w:rsidR="00EC665D" w:rsidRPr="000A5F78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73EB07A" w14:textId="504E39BF" w:rsidR="00EC665D" w:rsidRPr="000A5F78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  <w:r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Arroio Grande, </w:t>
      </w:r>
      <w:r w:rsidR="00062B05">
        <w:rPr>
          <w:rFonts w:ascii="Arial" w:eastAsia="Arial" w:hAnsi="Arial" w:cs="Arial"/>
          <w:color w:val="000000"/>
          <w:sz w:val="26"/>
          <w:szCs w:val="26"/>
          <w:lang w:val="pt-BR"/>
        </w:rPr>
        <w:t>19</w:t>
      </w:r>
      <w:r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de</w:t>
      </w:r>
      <w:r w:rsidR="00405853"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</w:t>
      </w:r>
      <w:r w:rsidR="00BC3EB4">
        <w:rPr>
          <w:rFonts w:ascii="Arial" w:eastAsia="Arial" w:hAnsi="Arial" w:cs="Arial"/>
          <w:color w:val="000000"/>
          <w:sz w:val="26"/>
          <w:szCs w:val="26"/>
          <w:lang w:val="pt-BR"/>
        </w:rPr>
        <w:t>maio</w:t>
      </w:r>
      <w:r w:rsidR="009E377B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de 2025</w:t>
      </w:r>
      <w:r w:rsidRPr="000A5F78">
        <w:rPr>
          <w:rFonts w:ascii="Arial" w:eastAsia="Arial" w:hAnsi="Arial" w:cs="Arial"/>
          <w:color w:val="000000"/>
          <w:sz w:val="26"/>
          <w:szCs w:val="26"/>
          <w:lang w:val="pt-BR"/>
        </w:rPr>
        <w:t>.</w:t>
      </w:r>
    </w:p>
    <w:p w14:paraId="16CE5982" w14:textId="7CE810CA" w:rsidR="00A56875" w:rsidRDefault="00A568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DD9082C" w14:textId="3A1B6450" w:rsidR="001B2AF9" w:rsidRDefault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1503139" w14:textId="23461341" w:rsidR="00182066" w:rsidRDefault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7FCE1AFF" w14:textId="20EEA0D3" w:rsidR="001B2AF9" w:rsidRDefault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7D9C7F9D" w14:textId="027E68BF" w:rsidR="001B2AF9" w:rsidRDefault="001B2AF9" w:rsidP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>________________________</w:t>
      </w:r>
    </w:p>
    <w:bookmarkEnd w:id="0"/>
    <w:p w14:paraId="4555F708" w14:textId="77777777" w:rsidR="009E377B" w:rsidRDefault="009E377B" w:rsidP="003855B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>Ailton da Cunha Vargas</w:t>
      </w:r>
    </w:p>
    <w:p w14:paraId="34F2CCF6" w14:textId="5F17D7CE" w:rsidR="00A56875" w:rsidRPr="000A5F78" w:rsidRDefault="009E377B" w:rsidP="003855B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Presidente </w:t>
      </w:r>
    </w:p>
    <w:sectPr w:rsidR="00A56875" w:rsidRPr="000A5F78">
      <w:headerReference w:type="default" r:id="rId9"/>
      <w:footerReference w:type="default" r:id="rId10"/>
      <w:pgSz w:w="11920" w:h="16840"/>
      <w:pgMar w:top="1417" w:right="1701" w:bottom="1417" w:left="1701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42DAF" w14:textId="77777777" w:rsidR="002B0C8D" w:rsidRDefault="002B0C8D">
      <w:r>
        <w:separator/>
      </w:r>
    </w:p>
  </w:endnote>
  <w:endnote w:type="continuationSeparator" w:id="0">
    <w:p w14:paraId="6F35ACC2" w14:textId="77777777" w:rsidR="002B0C8D" w:rsidRDefault="002B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A3496" w14:textId="77777777" w:rsidR="004A7D22" w:rsidRDefault="002743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pict w14:anchorId="7EE8821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-6.55pt;margin-top:783.65pt;width:233.15pt;height:23.75pt;z-index:-15844864;mso-position-horizontal:absolute;mso-position-horizontal-relative:margin;mso-position-vertical:absolute;mso-position-vertical-relative:text" filled="f" stroked="f">
          <v:textbox style="mso-next-textbox:#docshape1" inset="0,0,0,0">
            <w:txbxContent>
              <w:p w14:paraId="2CAF2EC4" w14:textId="77777777" w:rsidR="000679CB" w:rsidRDefault="000679CB">
                <w:pPr>
                  <w:spacing w:before="16" w:line="261" w:lineRule="auto"/>
                  <w:ind w:left="20"/>
                  <w:rPr>
                    <w:rFonts w:ascii="Arial" w:hAnsi="Arial"/>
                    <w:sz w:val="12"/>
                  </w:rPr>
                </w:pPr>
              </w:p>
            </w:txbxContent>
          </v:textbox>
          <w10:wrap anchorx="margin"/>
        </v:shape>
      </w:pict>
    </w:r>
    <w:r>
      <w:pict w14:anchorId="38D3B40D">
        <v:line id="_x0000_s2050" style="position:absolute;z-index:-15845376;mso-position-horizontal:absolute;mso-position-horizontal-relative:margin;mso-position-vertical:absolute;mso-position-vertical-relative:text" from="-6.05pt,783.85pt" to="333.8pt,783.85pt" strokeweight=".4pt">
          <w10:wrap anchorx="margin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B0DA4" w14:textId="77777777" w:rsidR="002B0C8D" w:rsidRDefault="002B0C8D">
      <w:r>
        <w:separator/>
      </w:r>
    </w:p>
  </w:footnote>
  <w:footnote w:type="continuationSeparator" w:id="0">
    <w:p w14:paraId="6E036C6C" w14:textId="77777777" w:rsidR="002B0C8D" w:rsidRDefault="002B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A864" w14:textId="587E085A" w:rsidR="004A7D22" w:rsidRDefault="004A7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 w:hanging="142"/>
      <w:rPr>
        <w:color w:val="000000"/>
      </w:rPr>
    </w:pPr>
  </w:p>
  <w:p w14:paraId="4D67F372" w14:textId="77777777" w:rsidR="004A7D22" w:rsidRDefault="004A7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993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A4F31"/>
    <w:multiLevelType w:val="multilevel"/>
    <w:tmpl w:val="5C2C9BAA"/>
    <w:lvl w:ilvl="0">
      <w:start w:val="1"/>
      <w:numFmt w:val="decimal"/>
      <w:lvlText w:val="%1."/>
      <w:lvlJc w:val="left"/>
      <w:pPr>
        <w:ind w:left="490" w:hanging="360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50" w:hanging="43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7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840" w:hanging="720"/>
      </w:pPr>
    </w:lvl>
    <w:lvl w:ilvl="4">
      <w:numFmt w:val="bullet"/>
      <w:lvlText w:val="•"/>
      <w:lvlJc w:val="left"/>
      <w:pPr>
        <w:ind w:left="860" w:hanging="720"/>
      </w:pPr>
    </w:lvl>
    <w:lvl w:ilvl="5">
      <w:numFmt w:val="bullet"/>
      <w:lvlText w:val="•"/>
      <w:lvlJc w:val="left"/>
      <w:pPr>
        <w:ind w:left="1120" w:hanging="720"/>
      </w:pPr>
    </w:lvl>
    <w:lvl w:ilvl="6">
      <w:numFmt w:val="bullet"/>
      <w:lvlText w:val="•"/>
      <w:lvlJc w:val="left"/>
      <w:pPr>
        <w:ind w:left="1280" w:hanging="720"/>
      </w:pPr>
    </w:lvl>
    <w:lvl w:ilvl="7">
      <w:numFmt w:val="bullet"/>
      <w:lvlText w:val="•"/>
      <w:lvlJc w:val="left"/>
      <w:pPr>
        <w:ind w:left="3340" w:hanging="720"/>
      </w:pPr>
    </w:lvl>
    <w:lvl w:ilvl="8">
      <w:numFmt w:val="bullet"/>
      <w:lvlText w:val="•"/>
      <w:lvlJc w:val="left"/>
      <w:pPr>
        <w:ind w:left="54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22"/>
    <w:rsid w:val="00056BC4"/>
    <w:rsid w:val="00062B05"/>
    <w:rsid w:val="00064D32"/>
    <w:rsid w:val="000679CB"/>
    <w:rsid w:val="00094560"/>
    <w:rsid w:val="000951BA"/>
    <w:rsid w:val="000A507D"/>
    <w:rsid w:val="000A5F78"/>
    <w:rsid w:val="000C7B14"/>
    <w:rsid w:val="000D0A60"/>
    <w:rsid w:val="000D183D"/>
    <w:rsid w:val="000D6308"/>
    <w:rsid w:val="0011259E"/>
    <w:rsid w:val="00134A89"/>
    <w:rsid w:val="001645E4"/>
    <w:rsid w:val="0016720E"/>
    <w:rsid w:val="00182066"/>
    <w:rsid w:val="001820EF"/>
    <w:rsid w:val="001A3A33"/>
    <w:rsid w:val="001B22CB"/>
    <w:rsid w:val="001B2AF9"/>
    <w:rsid w:val="001B7117"/>
    <w:rsid w:val="001C0369"/>
    <w:rsid w:val="001D5558"/>
    <w:rsid w:val="001D5632"/>
    <w:rsid w:val="001E1521"/>
    <w:rsid w:val="001E2911"/>
    <w:rsid w:val="001F44CF"/>
    <w:rsid w:val="00210158"/>
    <w:rsid w:val="002132E8"/>
    <w:rsid w:val="0023080A"/>
    <w:rsid w:val="00231E35"/>
    <w:rsid w:val="002321C2"/>
    <w:rsid w:val="0024540F"/>
    <w:rsid w:val="00246434"/>
    <w:rsid w:val="00270636"/>
    <w:rsid w:val="002743E3"/>
    <w:rsid w:val="002801C5"/>
    <w:rsid w:val="002A5A56"/>
    <w:rsid w:val="002B0C8D"/>
    <w:rsid w:val="002D1C6A"/>
    <w:rsid w:val="002D68B9"/>
    <w:rsid w:val="002D69E0"/>
    <w:rsid w:val="00307971"/>
    <w:rsid w:val="00355D8B"/>
    <w:rsid w:val="003855BF"/>
    <w:rsid w:val="00396B16"/>
    <w:rsid w:val="003A41EB"/>
    <w:rsid w:val="003B20EA"/>
    <w:rsid w:val="003E3343"/>
    <w:rsid w:val="003E55E6"/>
    <w:rsid w:val="00405853"/>
    <w:rsid w:val="0041451B"/>
    <w:rsid w:val="00470CF6"/>
    <w:rsid w:val="004714C2"/>
    <w:rsid w:val="004A6DA7"/>
    <w:rsid w:val="004A7D22"/>
    <w:rsid w:val="004B4222"/>
    <w:rsid w:val="004B439D"/>
    <w:rsid w:val="004C0D3D"/>
    <w:rsid w:val="00505D20"/>
    <w:rsid w:val="00511AE7"/>
    <w:rsid w:val="00532970"/>
    <w:rsid w:val="00533379"/>
    <w:rsid w:val="005463F5"/>
    <w:rsid w:val="00554DDB"/>
    <w:rsid w:val="00556B93"/>
    <w:rsid w:val="0056198C"/>
    <w:rsid w:val="00567038"/>
    <w:rsid w:val="00571A5A"/>
    <w:rsid w:val="00584787"/>
    <w:rsid w:val="005862A4"/>
    <w:rsid w:val="005917A6"/>
    <w:rsid w:val="005C5D48"/>
    <w:rsid w:val="005C6B9D"/>
    <w:rsid w:val="005C7953"/>
    <w:rsid w:val="005F6188"/>
    <w:rsid w:val="006122D2"/>
    <w:rsid w:val="00623DD1"/>
    <w:rsid w:val="00642FB7"/>
    <w:rsid w:val="00650762"/>
    <w:rsid w:val="006540A8"/>
    <w:rsid w:val="006B0D96"/>
    <w:rsid w:val="006C02AB"/>
    <w:rsid w:val="00705719"/>
    <w:rsid w:val="007337F8"/>
    <w:rsid w:val="007370B2"/>
    <w:rsid w:val="00741CA7"/>
    <w:rsid w:val="00771171"/>
    <w:rsid w:val="00773084"/>
    <w:rsid w:val="007826C7"/>
    <w:rsid w:val="007A5484"/>
    <w:rsid w:val="007B2DA3"/>
    <w:rsid w:val="007C77BF"/>
    <w:rsid w:val="007E5E0C"/>
    <w:rsid w:val="0081302B"/>
    <w:rsid w:val="008151AE"/>
    <w:rsid w:val="008219DF"/>
    <w:rsid w:val="00822469"/>
    <w:rsid w:val="008434CD"/>
    <w:rsid w:val="008471CA"/>
    <w:rsid w:val="00857F07"/>
    <w:rsid w:val="00861360"/>
    <w:rsid w:val="00873813"/>
    <w:rsid w:val="00883E4A"/>
    <w:rsid w:val="00886CDA"/>
    <w:rsid w:val="008916CD"/>
    <w:rsid w:val="00892143"/>
    <w:rsid w:val="0089253A"/>
    <w:rsid w:val="0089722C"/>
    <w:rsid w:val="00920784"/>
    <w:rsid w:val="009335BF"/>
    <w:rsid w:val="00981184"/>
    <w:rsid w:val="009B6744"/>
    <w:rsid w:val="009C1BE6"/>
    <w:rsid w:val="009E377B"/>
    <w:rsid w:val="00A110D5"/>
    <w:rsid w:val="00A27785"/>
    <w:rsid w:val="00A37339"/>
    <w:rsid w:val="00A56875"/>
    <w:rsid w:val="00A5740B"/>
    <w:rsid w:val="00A9032F"/>
    <w:rsid w:val="00A90A90"/>
    <w:rsid w:val="00AA7A60"/>
    <w:rsid w:val="00AB3DD7"/>
    <w:rsid w:val="00AE3EEB"/>
    <w:rsid w:val="00AF5C84"/>
    <w:rsid w:val="00AF6EC6"/>
    <w:rsid w:val="00B00A35"/>
    <w:rsid w:val="00B14CD4"/>
    <w:rsid w:val="00B164F2"/>
    <w:rsid w:val="00B20B20"/>
    <w:rsid w:val="00B43B7D"/>
    <w:rsid w:val="00B5083C"/>
    <w:rsid w:val="00B7467D"/>
    <w:rsid w:val="00B87B40"/>
    <w:rsid w:val="00B9098B"/>
    <w:rsid w:val="00BC3E7B"/>
    <w:rsid w:val="00BC3EB4"/>
    <w:rsid w:val="00BC5F85"/>
    <w:rsid w:val="00BE1C00"/>
    <w:rsid w:val="00BF533E"/>
    <w:rsid w:val="00C14FE4"/>
    <w:rsid w:val="00C24904"/>
    <w:rsid w:val="00C26D2A"/>
    <w:rsid w:val="00C3791D"/>
    <w:rsid w:val="00C43653"/>
    <w:rsid w:val="00C4587F"/>
    <w:rsid w:val="00C57D44"/>
    <w:rsid w:val="00C65C4F"/>
    <w:rsid w:val="00C70C35"/>
    <w:rsid w:val="00CA6C2D"/>
    <w:rsid w:val="00CD0798"/>
    <w:rsid w:val="00CE3ADA"/>
    <w:rsid w:val="00D00A20"/>
    <w:rsid w:val="00D07FEF"/>
    <w:rsid w:val="00D231FD"/>
    <w:rsid w:val="00D6595F"/>
    <w:rsid w:val="00D77473"/>
    <w:rsid w:val="00DC4460"/>
    <w:rsid w:val="00DD1B02"/>
    <w:rsid w:val="00DF6AFC"/>
    <w:rsid w:val="00E1163E"/>
    <w:rsid w:val="00E11C45"/>
    <w:rsid w:val="00E11E16"/>
    <w:rsid w:val="00EB1C38"/>
    <w:rsid w:val="00EB5BAC"/>
    <w:rsid w:val="00EC10D2"/>
    <w:rsid w:val="00EC665D"/>
    <w:rsid w:val="00ED02F7"/>
    <w:rsid w:val="00ED0955"/>
    <w:rsid w:val="00ED33DD"/>
    <w:rsid w:val="00ED7CDB"/>
    <w:rsid w:val="00EF3962"/>
    <w:rsid w:val="00F04320"/>
    <w:rsid w:val="00F34C29"/>
    <w:rsid w:val="00F46C6E"/>
    <w:rsid w:val="00F533E9"/>
    <w:rsid w:val="00F641E6"/>
    <w:rsid w:val="00F67939"/>
    <w:rsid w:val="00FA5416"/>
    <w:rsid w:val="00FA5957"/>
    <w:rsid w:val="00FB50FC"/>
    <w:rsid w:val="00FC1E7F"/>
    <w:rsid w:val="00FC604F"/>
    <w:rsid w:val="00FD1B57"/>
    <w:rsid w:val="00FD6C37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D0B367"/>
  <w15:docId w15:val="{0F0C1C67-0AF0-4C67-9A88-86F14A10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90" w:hanging="36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8916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6CD"/>
  </w:style>
  <w:style w:type="paragraph" w:styleId="Rodap">
    <w:name w:val="footer"/>
    <w:basedOn w:val="Normal"/>
    <w:link w:val="RodapChar"/>
    <w:uiPriority w:val="99"/>
    <w:unhideWhenUsed/>
    <w:rsid w:val="008916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6CD"/>
  </w:style>
  <w:style w:type="table" w:styleId="Tabelacomgrade">
    <w:name w:val="Table Grid"/>
    <w:basedOn w:val="Tabelanormal"/>
    <w:uiPriority w:val="39"/>
    <w:rsid w:val="00A56875"/>
    <w:pPr>
      <w:widowControl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1F44CF"/>
    <w:pPr>
      <w:widowControl/>
    </w:pPr>
    <w:rPr>
      <w:rFonts w:ascii="Cambria" w:eastAsia="Cambria" w:hAnsi="Cambria"/>
      <w:kern w:val="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2A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AF9"/>
    <w:rPr>
      <w:rFonts w:ascii="Segoe UI" w:hAnsi="Segoe UI" w:cs="Segoe UI"/>
      <w:sz w:val="18"/>
      <w:szCs w:val="18"/>
    </w:rPr>
  </w:style>
  <w:style w:type="paragraph" w:customStyle="1" w:styleId="PADRO">
    <w:name w:val="PADRÃO"/>
    <w:qFormat/>
    <w:rsid w:val="00ED02F7"/>
    <w:pPr>
      <w:keepNext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2005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2024-06-14T15:08:00Z</cp:lastPrinted>
  <dcterms:created xsi:type="dcterms:W3CDTF">2024-07-19T14:22:00Z</dcterms:created>
  <dcterms:modified xsi:type="dcterms:W3CDTF">2025-05-19T15:08:00Z</dcterms:modified>
</cp:coreProperties>
</file>