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4FFAB" w14:textId="77777777" w:rsidR="004A7D22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b/>
          <w:color w:val="000000"/>
        </w:rPr>
      </w:pPr>
    </w:p>
    <w:p w14:paraId="7830A489" w14:textId="77777777" w:rsidR="00EC665D" w:rsidRDefault="00EC66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b/>
          <w:color w:val="000000"/>
        </w:rPr>
      </w:pPr>
    </w:p>
    <w:p w14:paraId="5EBEB172" w14:textId="08BBDDE1" w:rsidR="00EC665D" w:rsidRDefault="00EC66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</w:pPr>
      <w:r>
        <w:object w:dxaOrig="8235" w:dyaOrig="2025" w14:anchorId="3EC7A7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2.5pt;height:101.25pt" o:ole="">
            <v:imagedata r:id="rId7" o:title=""/>
          </v:shape>
          <o:OLEObject Type="Embed" ProgID="PBrush" ShapeID="_x0000_i1025" DrawAspect="Content" ObjectID="_1774168567" r:id="rId8"/>
        </w:object>
      </w:r>
    </w:p>
    <w:p w14:paraId="06CCD591" w14:textId="77777777" w:rsidR="00EC665D" w:rsidRDefault="00EC66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</w:pPr>
    </w:p>
    <w:p w14:paraId="0F7B2BA5" w14:textId="77777777" w:rsidR="00EC665D" w:rsidRDefault="00EC66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b/>
          <w:color w:val="000000"/>
        </w:rPr>
      </w:pPr>
    </w:p>
    <w:p w14:paraId="3E211219" w14:textId="6DA259ED" w:rsidR="004A7D22" w:rsidRPr="000A5F78" w:rsidRDefault="00000000">
      <w:pPr>
        <w:tabs>
          <w:tab w:val="left" w:pos="709"/>
        </w:tabs>
        <w:spacing w:line="288" w:lineRule="auto"/>
        <w:ind w:right="-271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  <w:bookmarkStart w:id="0" w:name="_Hlk158268820"/>
      <w:r w:rsidRPr="000A5F78">
        <w:rPr>
          <w:rFonts w:ascii="Arial" w:eastAsia="Arial" w:hAnsi="Arial" w:cs="Arial"/>
          <w:b/>
          <w:sz w:val="24"/>
          <w:szCs w:val="24"/>
          <w:lang w:val="pt-BR"/>
        </w:rPr>
        <w:t xml:space="preserve">SEÇÃO DE LICITAÇÕES E CONTRATOS </w:t>
      </w:r>
    </w:p>
    <w:p w14:paraId="15C00DCB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right="-271"/>
        <w:rPr>
          <w:rFonts w:ascii="Arial" w:eastAsia="Arial" w:hAnsi="Arial" w:cs="Arial"/>
          <w:b/>
          <w:color w:val="000000"/>
          <w:sz w:val="26"/>
          <w:szCs w:val="26"/>
          <w:lang w:val="pt-BR"/>
        </w:rPr>
      </w:pPr>
    </w:p>
    <w:p w14:paraId="03DDEDE1" w14:textId="669FE6A6" w:rsidR="004A7D22" w:rsidRPr="000A5F78" w:rsidRDefault="00000000">
      <w:pPr>
        <w:tabs>
          <w:tab w:val="left" w:pos="709"/>
        </w:tabs>
        <w:spacing w:before="164"/>
        <w:ind w:right="-271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  <w:r w:rsidRPr="000A5F78">
        <w:rPr>
          <w:rFonts w:ascii="Arial" w:eastAsia="Arial" w:hAnsi="Arial" w:cs="Arial"/>
          <w:b/>
          <w:sz w:val="24"/>
          <w:szCs w:val="24"/>
          <w:lang w:val="pt-BR"/>
        </w:rPr>
        <w:t xml:space="preserve">COTAÇÃO ELETRÔNICA Nº </w:t>
      </w:r>
      <w:r w:rsidR="00935AE6">
        <w:rPr>
          <w:rFonts w:ascii="Arial" w:eastAsia="Arial" w:hAnsi="Arial" w:cs="Arial"/>
          <w:b/>
          <w:sz w:val="24"/>
          <w:szCs w:val="24"/>
          <w:lang w:val="pt-BR"/>
        </w:rPr>
        <w:t>37</w:t>
      </w:r>
      <w:r w:rsidR="007A5484" w:rsidRPr="00935AE6">
        <w:rPr>
          <w:rFonts w:ascii="Arial" w:eastAsia="Arial" w:hAnsi="Arial" w:cs="Arial"/>
          <w:b/>
          <w:sz w:val="24"/>
          <w:szCs w:val="24"/>
          <w:lang w:val="pt-BR"/>
        </w:rPr>
        <w:t>/2024</w:t>
      </w:r>
    </w:p>
    <w:p w14:paraId="73FB8F00" w14:textId="4A58E53E" w:rsidR="004A7D22" w:rsidRPr="000A5F78" w:rsidRDefault="00000000">
      <w:pPr>
        <w:tabs>
          <w:tab w:val="left" w:pos="709"/>
        </w:tabs>
        <w:spacing w:before="54" w:line="573" w:lineRule="auto"/>
        <w:ind w:right="-271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  <w:r w:rsidRPr="000A5F78">
        <w:rPr>
          <w:rFonts w:ascii="Arial" w:eastAsia="Arial" w:hAnsi="Arial" w:cs="Arial"/>
          <w:b/>
          <w:sz w:val="24"/>
          <w:szCs w:val="24"/>
          <w:lang w:val="pt-BR"/>
        </w:rPr>
        <w:t xml:space="preserve">Processo </w:t>
      </w:r>
      <w:r w:rsidR="00EC665D" w:rsidRPr="000A5F78">
        <w:rPr>
          <w:rFonts w:ascii="Arial" w:eastAsia="Arial" w:hAnsi="Arial" w:cs="Arial"/>
          <w:b/>
          <w:sz w:val="24"/>
          <w:szCs w:val="24"/>
          <w:lang w:val="pt-BR"/>
        </w:rPr>
        <w:t>Administrativ</w:t>
      </w:r>
      <w:r w:rsidR="00517DC7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0A5F78">
        <w:rPr>
          <w:rFonts w:ascii="Arial" w:eastAsia="Arial" w:hAnsi="Arial" w:cs="Arial"/>
          <w:b/>
          <w:sz w:val="24"/>
          <w:szCs w:val="24"/>
          <w:lang w:val="pt-BR"/>
        </w:rPr>
        <w:t xml:space="preserve"> </w:t>
      </w:r>
      <w:r w:rsidR="008916CD" w:rsidRPr="000A5F78">
        <w:rPr>
          <w:rFonts w:ascii="Arial" w:eastAsia="Arial" w:hAnsi="Arial" w:cs="Arial"/>
          <w:b/>
          <w:sz w:val="24"/>
          <w:szCs w:val="24"/>
          <w:lang w:val="pt-BR"/>
        </w:rPr>
        <w:t>n. º</w:t>
      </w:r>
      <w:r w:rsidRPr="000A5F78">
        <w:rPr>
          <w:rFonts w:ascii="Arial" w:eastAsia="Arial" w:hAnsi="Arial" w:cs="Arial"/>
          <w:b/>
          <w:sz w:val="24"/>
          <w:szCs w:val="24"/>
          <w:lang w:val="pt-BR"/>
        </w:rPr>
        <w:t xml:space="preserve"> </w:t>
      </w:r>
      <w:r w:rsidR="00B174BA" w:rsidRPr="00935AE6">
        <w:rPr>
          <w:rFonts w:ascii="Arial" w:eastAsia="Arial" w:hAnsi="Arial" w:cs="Arial"/>
          <w:b/>
          <w:sz w:val="24"/>
          <w:szCs w:val="24"/>
          <w:lang w:val="pt-BR"/>
        </w:rPr>
        <w:t>3</w:t>
      </w:r>
      <w:r w:rsidR="00935AE6" w:rsidRPr="00935AE6">
        <w:rPr>
          <w:rFonts w:ascii="Arial" w:eastAsia="Arial" w:hAnsi="Arial" w:cs="Arial"/>
          <w:b/>
          <w:sz w:val="24"/>
          <w:szCs w:val="24"/>
          <w:lang w:val="pt-BR"/>
        </w:rPr>
        <w:t>7</w:t>
      </w:r>
      <w:r w:rsidR="007A5484" w:rsidRPr="00935AE6">
        <w:rPr>
          <w:rFonts w:ascii="Arial" w:eastAsia="Arial" w:hAnsi="Arial" w:cs="Arial"/>
          <w:b/>
          <w:sz w:val="24"/>
          <w:szCs w:val="24"/>
          <w:lang w:val="pt-BR"/>
        </w:rPr>
        <w:t>/2024</w:t>
      </w:r>
    </w:p>
    <w:p w14:paraId="14A9F108" w14:textId="77777777" w:rsidR="004A7D22" w:rsidRPr="000A5F78" w:rsidRDefault="00000000">
      <w:pPr>
        <w:tabs>
          <w:tab w:val="left" w:pos="709"/>
        </w:tabs>
        <w:spacing w:before="54" w:line="573" w:lineRule="auto"/>
        <w:ind w:right="-271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  <w:r w:rsidRPr="000A5F78">
        <w:rPr>
          <w:rFonts w:ascii="Arial" w:eastAsia="Arial" w:hAnsi="Arial" w:cs="Arial"/>
          <w:b/>
          <w:sz w:val="24"/>
          <w:szCs w:val="24"/>
          <w:lang w:val="pt-BR"/>
        </w:rPr>
        <w:t xml:space="preserve"> TERMO DE REFERÊNCIA</w:t>
      </w:r>
    </w:p>
    <w:p w14:paraId="56908776" w14:textId="77777777" w:rsidR="004A7D2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90"/>
          <w:tab w:val="left" w:pos="709"/>
        </w:tabs>
        <w:spacing w:before="151"/>
        <w:ind w:left="0" w:firstLine="0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DO OBJETO</w:t>
      </w:r>
    </w:p>
    <w:p w14:paraId="01A9A59E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0"/>
        </w:tabs>
        <w:spacing w:before="174" w:line="288" w:lineRule="auto"/>
        <w:ind w:left="0" w:right="215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Aquisição dos itens relacionados de acordo com tabela abaixo</w:t>
      </w:r>
      <w:r w:rsidRPr="000A5F78">
        <w:rPr>
          <w:rFonts w:ascii="Arial" w:eastAsia="Arial" w:hAnsi="Arial" w:cs="Arial"/>
          <w:b/>
          <w:color w:val="000000"/>
          <w:sz w:val="24"/>
          <w:szCs w:val="24"/>
          <w:lang w:val="pt-BR"/>
        </w:rPr>
        <w:t xml:space="preserve">, 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conforme condições, quantidades e exigências estabelecidas neste instrumento:</w:t>
      </w:r>
    </w:p>
    <w:p w14:paraId="64435984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1"/>
        <w:rPr>
          <w:rFonts w:ascii="Arial" w:eastAsia="Arial" w:hAnsi="Arial" w:cs="Arial"/>
          <w:color w:val="000000"/>
          <w:sz w:val="8"/>
          <w:szCs w:val="8"/>
          <w:lang w:val="pt-BR"/>
        </w:rPr>
      </w:pPr>
    </w:p>
    <w:tbl>
      <w:tblPr>
        <w:tblStyle w:val="Tabelacomgrade"/>
        <w:tblW w:w="8075" w:type="dxa"/>
        <w:tblLook w:val="04A0" w:firstRow="1" w:lastRow="0" w:firstColumn="1" w:lastColumn="0" w:noHBand="0" w:noVBand="1"/>
      </w:tblPr>
      <w:tblGrid>
        <w:gridCol w:w="988"/>
        <w:gridCol w:w="1417"/>
        <w:gridCol w:w="3977"/>
        <w:gridCol w:w="1693"/>
      </w:tblGrid>
      <w:tr w:rsidR="00094560" w14:paraId="13F356A1" w14:textId="77777777" w:rsidTr="00094560">
        <w:tc>
          <w:tcPr>
            <w:tcW w:w="988" w:type="dxa"/>
          </w:tcPr>
          <w:p w14:paraId="5FC70C14" w14:textId="66770F98" w:rsidR="00094560" w:rsidRPr="00422F36" w:rsidRDefault="00094560" w:rsidP="00094560">
            <w:pPr>
              <w:tabs>
                <w:tab w:val="left" w:pos="709"/>
              </w:tabs>
              <w:spacing w:before="4"/>
              <w:rPr>
                <w:rFonts w:ascii="Arial" w:eastAsia="Arial" w:hAnsi="Arial" w:cs="Arial"/>
                <w:color w:val="000000"/>
                <w:sz w:val="31"/>
                <w:szCs w:val="31"/>
              </w:rPr>
            </w:pPr>
            <w:r w:rsidRPr="00422F36">
              <w:rPr>
                <w:b/>
                <w:bCs/>
              </w:rPr>
              <w:t>ITEM</w:t>
            </w:r>
          </w:p>
        </w:tc>
        <w:tc>
          <w:tcPr>
            <w:tcW w:w="1417" w:type="dxa"/>
          </w:tcPr>
          <w:p w14:paraId="7227571F" w14:textId="009E37E1" w:rsidR="00094560" w:rsidRPr="00422F36" w:rsidRDefault="00094560" w:rsidP="00094560">
            <w:pPr>
              <w:tabs>
                <w:tab w:val="left" w:pos="709"/>
              </w:tabs>
              <w:spacing w:before="4"/>
              <w:rPr>
                <w:rFonts w:ascii="Arial" w:eastAsia="Arial" w:hAnsi="Arial" w:cs="Arial"/>
                <w:color w:val="000000"/>
                <w:sz w:val="31"/>
                <w:szCs w:val="31"/>
              </w:rPr>
            </w:pPr>
            <w:r w:rsidRPr="00422F36">
              <w:rPr>
                <w:b/>
                <w:bCs/>
              </w:rPr>
              <w:t>UNIDADE</w:t>
            </w:r>
          </w:p>
        </w:tc>
        <w:tc>
          <w:tcPr>
            <w:tcW w:w="3977" w:type="dxa"/>
          </w:tcPr>
          <w:p w14:paraId="6A4623C4" w14:textId="50D2574D" w:rsidR="00094560" w:rsidRPr="00422F36" w:rsidRDefault="00094560" w:rsidP="00094560">
            <w:pPr>
              <w:tabs>
                <w:tab w:val="left" w:pos="709"/>
              </w:tabs>
              <w:spacing w:before="4"/>
              <w:rPr>
                <w:rFonts w:ascii="Arial" w:eastAsia="Arial" w:hAnsi="Arial" w:cs="Arial"/>
                <w:color w:val="000000"/>
                <w:sz w:val="31"/>
                <w:szCs w:val="31"/>
              </w:rPr>
            </w:pPr>
            <w:r w:rsidRPr="00422F36">
              <w:rPr>
                <w:b/>
                <w:bCs/>
              </w:rPr>
              <w:t>DESCRIÇÃO</w:t>
            </w:r>
          </w:p>
        </w:tc>
        <w:tc>
          <w:tcPr>
            <w:tcW w:w="1693" w:type="dxa"/>
          </w:tcPr>
          <w:p w14:paraId="1FD6F870" w14:textId="306C1764" w:rsidR="00094560" w:rsidRPr="00422F36" w:rsidRDefault="00094560" w:rsidP="00094560">
            <w:pPr>
              <w:tabs>
                <w:tab w:val="left" w:pos="709"/>
              </w:tabs>
              <w:spacing w:before="4"/>
              <w:rPr>
                <w:rFonts w:ascii="Arial" w:eastAsia="Arial" w:hAnsi="Arial" w:cs="Arial"/>
                <w:color w:val="000000"/>
                <w:sz w:val="31"/>
                <w:szCs w:val="31"/>
              </w:rPr>
            </w:pPr>
            <w:r w:rsidRPr="00422F36">
              <w:rPr>
                <w:b/>
                <w:bCs/>
              </w:rPr>
              <w:t>QUANTIDADE</w:t>
            </w:r>
          </w:p>
        </w:tc>
      </w:tr>
      <w:tr w:rsidR="00BE1C00" w14:paraId="1ED82B8C" w14:textId="77777777" w:rsidTr="00094560">
        <w:tc>
          <w:tcPr>
            <w:tcW w:w="988" w:type="dxa"/>
          </w:tcPr>
          <w:p w14:paraId="12D27845" w14:textId="3DCA2448" w:rsidR="00BE1C00" w:rsidRPr="00422F36" w:rsidRDefault="00BE1C00" w:rsidP="00BE1C00">
            <w:pPr>
              <w:tabs>
                <w:tab w:val="left" w:pos="709"/>
              </w:tabs>
              <w:spacing w:before="4"/>
              <w:rPr>
                <w:rFonts w:ascii="Arial" w:eastAsia="Arial" w:hAnsi="Arial" w:cs="Arial"/>
                <w:color w:val="000000"/>
                <w:sz w:val="31"/>
                <w:szCs w:val="31"/>
              </w:rPr>
            </w:pPr>
            <w:r w:rsidRPr="00422F36">
              <w:t>01</w:t>
            </w:r>
          </w:p>
        </w:tc>
        <w:tc>
          <w:tcPr>
            <w:tcW w:w="1417" w:type="dxa"/>
          </w:tcPr>
          <w:p w14:paraId="2F5C9A87" w14:textId="0EDEA68A" w:rsidR="00BE1C00" w:rsidRPr="00422F36" w:rsidRDefault="00BE1C00" w:rsidP="00BE1C00">
            <w:pPr>
              <w:tabs>
                <w:tab w:val="left" w:pos="709"/>
              </w:tabs>
              <w:spacing w:before="4"/>
              <w:rPr>
                <w:rFonts w:ascii="Arial" w:eastAsia="Arial" w:hAnsi="Arial" w:cs="Arial"/>
                <w:color w:val="000000"/>
                <w:sz w:val="31"/>
                <w:szCs w:val="31"/>
              </w:rPr>
            </w:pPr>
            <w:r w:rsidRPr="00422F36">
              <w:t>UNID.</w:t>
            </w:r>
          </w:p>
        </w:tc>
        <w:tc>
          <w:tcPr>
            <w:tcW w:w="3977" w:type="dxa"/>
          </w:tcPr>
          <w:p w14:paraId="0EA0EE02" w14:textId="3E459BE9" w:rsidR="00BE1C00" w:rsidRPr="00F47C95" w:rsidRDefault="00F47C95" w:rsidP="00F47C95">
            <w:pPr>
              <w:tabs>
                <w:tab w:val="left" w:pos="709"/>
              </w:tabs>
              <w:spacing w:before="4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47C95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Extrato de edital em preto e branco, 12cmx12cm, em página secundária com circulação em Arroio Grande e Região.</w:t>
            </w:r>
          </w:p>
        </w:tc>
        <w:tc>
          <w:tcPr>
            <w:tcW w:w="1693" w:type="dxa"/>
          </w:tcPr>
          <w:p w14:paraId="4ED788B6" w14:textId="1615D113" w:rsidR="00BE1C00" w:rsidRPr="00422F36" w:rsidRDefault="00422F36" w:rsidP="00BE1C00">
            <w:pPr>
              <w:tabs>
                <w:tab w:val="left" w:pos="709"/>
              </w:tabs>
              <w:spacing w:before="4"/>
              <w:jc w:val="center"/>
              <w:rPr>
                <w:rFonts w:ascii="Arial" w:eastAsia="Arial" w:hAnsi="Arial" w:cs="Arial"/>
                <w:color w:val="000000"/>
              </w:rPr>
            </w:pPr>
            <w:r w:rsidRPr="00422F36">
              <w:rPr>
                <w:rFonts w:ascii="Arial" w:hAnsi="Arial" w:cs="Arial"/>
                <w:color w:val="000000"/>
              </w:rPr>
              <w:t>0</w:t>
            </w:r>
            <w:r w:rsidR="00935AE6">
              <w:rPr>
                <w:rFonts w:ascii="Arial" w:hAnsi="Arial" w:cs="Arial"/>
                <w:color w:val="000000"/>
              </w:rPr>
              <w:t>3</w:t>
            </w:r>
          </w:p>
        </w:tc>
      </w:tr>
    </w:tbl>
    <w:p w14:paraId="75B471BA" w14:textId="77777777" w:rsidR="004A7D22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4"/>
        <w:rPr>
          <w:rFonts w:ascii="Arial" w:eastAsia="Arial" w:hAnsi="Arial" w:cs="Arial"/>
          <w:color w:val="000000"/>
          <w:sz w:val="31"/>
          <w:szCs w:val="31"/>
        </w:rPr>
      </w:pPr>
    </w:p>
    <w:p w14:paraId="267BD9E5" w14:textId="77777777" w:rsidR="004A7D22" w:rsidRPr="00422F36" w:rsidRDefault="00000000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spacing w:before="1"/>
        <w:ind w:left="0" w:firstLine="0"/>
        <w:rPr>
          <w:lang w:val="pt-BR"/>
        </w:rPr>
      </w:pPr>
      <w:r w:rsidRPr="00422F36">
        <w:rPr>
          <w:rFonts w:ascii="Arial" w:eastAsia="Arial" w:hAnsi="Arial" w:cs="Arial"/>
          <w:lang w:val="pt-BR"/>
        </w:rPr>
        <w:t>JUSTIFICATIVA E OBJETIVO DA CONTRATAÇÃO</w:t>
      </w:r>
    </w:p>
    <w:p w14:paraId="7862DA43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40"/>
        </w:tabs>
        <w:spacing w:before="174" w:line="288" w:lineRule="auto"/>
        <w:ind w:left="0" w:right="209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 Justificativa e objetivo da aquisição tem por finalidade atender a demanda do setor requisitante, conforme descrição detalhada, visando manter o pleno funcionamento das atividades administrativas, dando suporte às tarefas e ações operacionais, nas atividades desenvolvidas pelo setor.</w:t>
      </w:r>
    </w:p>
    <w:p w14:paraId="035C45C3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05ED026A" w14:textId="77777777" w:rsidR="004A7D22" w:rsidRDefault="00000000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spacing w:before="176"/>
        <w:ind w:left="0" w:firstLine="0"/>
      </w:pPr>
      <w:r>
        <w:rPr>
          <w:rFonts w:ascii="Arial" w:eastAsia="Arial" w:hAnsi="Arial" w:cs="Arial"/>
        </w:rPr>
        <w:t>CLASSIFICAÇÃO DOS BENS COMUNS</w:t>
      </w:r>
    </w:p>
    <w:p w14:paraId="7082554D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74" w:line="288" w:lineRule="auto"/>
        <w:ind w:left="0" w:right="214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Consideram-se bens e serviços comuns, para os fins e efeitos do art. 1º da Lei nº 1</w:t>
      </w:r>
      <w:hyperlink r:id="rId9">
        <w:r w:rsidRPr="000A5F78">
          <w:rPr>
            <w:rFonts w:ascii="Arial" w:eastAsia="Arial" w:hAnsi="Arial" w:cs="Arial"/>
            <w:color w:val="000000"/>
            <w:sz w:val="24"/>
            <w:szCs w:val="24"/>
            <w:lang w:val="pt-BR"/>
          </w:rPr>
          <w:t>0.520, de 17 de julho de 2002</w:t>
        </w:r>
      </w:hyperlink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, aqueles cujos padrões de desempenho e qualidade possam ser objetivamente definidos no Termo de Referência, por meio de especificações usuais no mercado.</w:t>
      </w:r>
    </w:p>
    <w:p w14:paraId="530F5F09" w14:textId="77777777" w:rsidR="004A7D22" w:rsidRPr="000A5F78" w:rsidRDefault="00000000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spacing w:before="184"/>
        <w:ind w:left="0" w:firstLine="0"/>
        <w:rPr>
          <w:lang w:val="pt-BR"/>
        </w:rPr>
      </w:pPr>
      <w:r w:rsidRPr="000A5F78">
        <w:rPr>
          <w:rFonts w:ascii="Arial" w:eastAsia="Arial" w:hAnsi="Arial" w:cs="Arial"/>
          <w:lang w:val="pt-BR"/>
        </w:rPr>
        <w:t>ENTREGA E CRITÉRIOS DE ACEITAÇÃO DO OBJETO.</w:t>
      </w:r>
    </w:p>
    <w:p w14:paraId="0FBDC40C" w14:textId="2793125F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74" w:line="288" w:lineRule="auto"/>
        <w:ind w:left="0" w:right="209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O prazo de entrega dos bens é de </w:t>
      </w:r>
      <w:r w:rsidR="000A507D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03</w:t>
      </w:r>
      <w:r w:rsidR="002D69E0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(</w:t>
      </w:r>
      <w:r w:rsidR="000A507D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três</w:t>
      </w:r>
      <w:r w:rsidR="002D69E0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)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dias, contados do(a) 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lastRenderedPageBreak/>
        <w:t>recebimento da nota de empenho, em remessa única a ser definida pelo contratante, no seguinte endereço:</w:t>
      </w:r>
      <w:r w:rsidR="00FA5957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Rua Doutor Monteiro,185, centro Arroio Grande RS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, dentro do horário de expediente, de segunda-feira a </w:t>
      </w:r>
      <w:r w:rsidR="00FA5957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sexta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-feira, das </w:t>
      </w:r>
      <w:r w:rsidR="00FA5957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7hs às 13hs.</w:t>
      </w:r>
    </w:p>
    <w:p w14:paraId="7E16C9C9" w14:textId="6A0D1B56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13" w:line="288" w:lineRule="auto"/>
        <w:ind w:left="0" w:right="210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Os bens poderão ser rejeitados, no todo ou em parte, quando em desacordo com as especificações constantes neste Termo de Referência e na proposta, devendo ser substituídos no prazo de </w:t>
      </w:r>
      <w:r w:rsidR="002D69E0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05 (cinco)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dias, a contar da notificação da contratada, às suas custas, sem prejuízo da aplicação das penalidades.</w:t>
      </w:r>
    </w:p>
    <w:p w14:paraId="4B482485" w14:textId="140D9D8C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15" w:line="288" w:lineRule="auto"/>
        <w:ind w:left="0" w:right="210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Os bens serão recebidos definitivamente no prazo de </w:t>
      </w:r>
      <w:r w:rsidR="002D69E0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03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(</w:t>
      </w:r>
      <w:r w:rsidR="002D69E0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três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) dias corridos ou de acordo com a necessidade do contratante, contados do recebimento provisório, após a verificação da qualidade e quantidade do material e consequente aceitação mediante termo circunstanciado.</w:t>
      </w:r>
    </w:p>
    <w:p w14:paraId="29ADEFF0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6" w:line="288" w:lineRule="auto"/>
        <w:ind w:left="0" w:right="219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Na hipótese de a verificação a que se refere o subitem anterior não ser procedida dentro do prazo fixado, reputar-se-á como realizada, consumando-se o recebimento definitivo no dia do esgotamento do prazo.</w:t>
      </w:r>
    </w:p>
    <w:p w14:paraId="10DA9A10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16" w:line="288" w:lineRule="auto"/>
        <w:ind w:left="0" w:right="215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O recebimento provisório ou definitivo do objeto não exclui a responsabilidade da contratada pelos prejuízos resultantes da incorreta execução do serviço.</w:t>
      </w:r>
    </w:p>
    <w:p w14:paraId="2D55236B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363C7DEA" w14:textId="77777777" w:rsidR="004A7D22" w:rsidRDefault="00000000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spacing w:before="179"/>
        <w:ind w:left="0" w:firstLine="0"/>
      </w:pPr>
      <w:r>
        <w:rPr>
          <w:rFonts w:ascii="Arial" w:eastAsia="Arial" w:hAnsi="Arial" w:cs="Arial"/>
        </w:rPr>
        <w:t>OBRIGAÇÕES DA CONTRATANTE</w:t>
      </w:r>
    </w:p>
    <w:p w14:paraId="49B73CC5" w14:textId="77777777" w:rsidR="004A7D2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74"/>
        <w:ind w:left="0" w:firstLine="0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São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obrigações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da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Contratante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:</w:t>
      </w:r>
    </w:p>
    <w:p w14:paraId="15A32557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74" w:line="288" w:lineRule="auto"/>
        <w:ind w:left="0" w:right="212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receber o objeto no prazo e condições estabelecidas no Termo de Referência e seus anexos;</w:t>
      </w:r>
    </w:p>
    <w:p w14:paraId="2EDC30EE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8" w:line="288" w:lineRule="auto"/>
        <w:ind w:left="0" w:right="208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verificar minuciosamente, no prazo fixado, a conformidade dos bens recebidos provisoriamente com as especificações constantes do Termo de Referência e da proposta, para fins de aceitação e recebimento definitivo;</w:t>
      </w:r>
    </w:p>
    <w:p w14:paraId="504DE863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6" w:line="288" w:lineRule="auto"/>
        <w:ind w:left="0" w:right="218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comunicar à Contratada, por escrito, sobre imperfeições, falhas ou irregularidades verificadas no objeto fornecido, para que seja substituído, reparado ou corrigido;</w:t>
      </w:r>
    </w:p>
    <w:p w14:paraId="57D8F435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6" w:line="288" w:lineRule="auto"/>
        <w:ind w:left="0" w:right="220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acompanhar e fiscalizar o cumprimento das obrigações da Contratada, através de comissão/servidor especialmente designado;</w:t>
      </w:r>
    </w:p>
    <w:p w14:paraId="391D71B7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8" w:line="288" w:lineRule="auto"/>
        <w:ind w:left="0" w:right="209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efetuar o pagamento à Contratada no valor correspondente ao fornecimento do objeto, no prazo e forma estabelecidos no Termo de Referência e seus anexos;</w:t>
      </w:r>
    </w:p>
    <w:p w14:paraId="39A058DD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64" w:line="288" w:lineRule="auto"/>
        <w:ind w:left="0" w:right="216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A Administração não responderá por quaisquer compromissos assumidos pela Contratada com terceiros, ainda que vinculados à execução do presente Termo de Referência, bem como por qualquer dano causado a 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lastRenderedPageBreak/>
        <w:t>terceiros em decorrência de ato da Contratada, de seus empregados, prepostos ou subordinados.</w:t>
      </w:r>
    </w:p>
    <w:p w14:paraId="577DF8E4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16C21E2B" w14:textId="77777777" w:rsidR="004A7D22" w:rsidRDefault="00000000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spacing w:before="176"/>
        <w:ind w:left="0" w:firstLine="0"/>
      </w:pPr>
      <w:r>
        <w:rPr>
          <w:rFonts w:ascii="Arial" w:eastAsia="Arial" w:hAnsi="Arial" w:cs="Arial"/>
        </w:rPr>
        <w:t>OBRIGAÇÕES DA CONTRATADA</w:t>
      </w:r>
    </w:p>
    <w:p w14:paraId="300C1B35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74" w:line="288" w:lineRule="auto"/>
        <w:ind w:left="0" w:right="214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 Contratada deve cumprir todas as obrigações constantes no Termo de Referência, seus anexos e sua proposta, assumindo como exclusivamente seus os riscos e as despesas decorrentes da boa e perfeita execução do objeto e, ainda:</w:t>
      </w:r>
    </w:p>
    <w:p w14:paraId="5B7C93F3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7" w:line="288" w:lineRule="auto"/>
        <w:ind w:left="0" w:right="211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efetuar a entrega do objeto em perfeitas condições, conforme especificações, prazo e local constantes no Termo de Referência e seus anexos, acompanhado da respectiva nota fiscal, na qual constarão as indicações referentes a: </w:t>
      </w:r>
      <w:r w:rsidRPr="000A5F78">
        <w:rPr>
          <w:rFonts w:ascii="Arial" w:eastAsia="Arial" w:hAnsi="Arial" w:cs="Arial"/>
          <w:i/>
          <w:color w:val="000000"/>
          <w:sz w:val="24"/>
          <w:szCs w:val="24"/>
          <w:lang w:val="pt-BR"/>
        </w:rPr>
        <w:t>marca, fabricante, modelo, procedência e prazo de garantia ou validade;</w:t>
      </w:r>
    </w:p>
    <w:p w14:paraId="5544A6FF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5" w:line="288" w:lineRule="auto"/>
        <w:ind w:left="0" w:right="209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responsabilizar-se pelos vícios e danos decorrentes do objeto, de acordo com os artigos 12, 13 e 17 a 27, do Código de Defesa do Consumidor (Lei nº 8.078, de 1990);</w:t>
      </w:r>
    </w:p>
    <w:p w14:paraId="45C756AF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7" w:line="288" w:lineRule="auto"/>
        <w:ind w:left="0" w:right="215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substituir, reparar ou corrigir, às suas expensas, no prazo fixado neste Termo de Referência, o objeto com avarias ou defeitos;</w:t>
      </w:r>
    </w:p>
    <w:p w14:paraId="0B554D72" w14:textId="263DEE2F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7" w:line="288" w:lineRule="auto"/>
        <w:ind w:left="0" w:right="211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comunicar à Contratante, no prazo máximo de </w:t>
      </w:r>
      <w:r w:rsidR="00064D32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48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(</w:t>
      </w:r>
      <w:r w:rsidR="00064D32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quarenta e oito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) horas que antecede a data da entrega, os motivos que impossibilitem o cumprimento do prazo previsto, com a devida comprovação;</w:t>
      </w:r>
    </w:p>
    <w:p w14:paraId="6288C808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7" w:line="288" w:lineRule="auto"/>
        <w:ind w:left="0" w:right="213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manter, durante toda a execução do serviço, em compatibilidade com as obrigações assumidas, todas as condições de habilitação e qualificação exigidas na licitação;</w:t>
      </w:r>
    </w:p>
    <w:p w14:paraId="346ECEE5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6"/>
        <w:ind w:left="0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indicar preposto para representá-la durante a execução do serviço.</w:t>
      </w:r>
    </w:p>
    <w:p w14:paraId="1A0407ED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27B0D5AF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5"/>
        <w:rPr>
          <w:rFonts w:ascii="Arial" w:eastAsia="Arial" w:hAnsi="Arial" w:cs="Arial"/>
          <w:color w:val="000000"/>
          <w:sz w:val="20"/>
          <w:szCs w:val="20"/>
          <w:lang w:val="pt-BR"/>
        </w:rPr>
      </w:pPr>
    </w:p>
    <w:p w14:paraId="46025219" w14:textId="77777777" w:rsidR="004A7D22" w:rsidRDefault="00000000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ind w:left="0" w:firstLine="0"/>
      </w:pPr>
      <w:r>
        <w:rPr>
          <w:rFonts w:ascii="Arial" w:eastAsia="Arial" w:hAnsi="Arial" w:cs="Arial"/>
        </w:rPr>
        <w:t>DA SUBCONTRATAÇÃO</w:t>
      </w:r>
    </w:p>
    <w:p w14:paraId="62145369" w14:textId="77777777" w:rsidR="004A7D22" w:rsidRPr="000A5F7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569"/>
        </w:tabs>
        <w:spacing w:before="174"/>
        <w:jc w:val="both"/>
        <w:rPr>
          <w:rFonts w:ascii="Arial" w:eastAsia="Arial" w:hAnsi="Arial" w:cs="Arial"/>
          <w:color w:val="000000"/>
          <w:sz w:val="24"/>
          <w:szCs w:val="24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7.1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ab/>
        <w:t>Não será admitida a subcontratação do objeto licitatório.</w:t>
      </w:r>
    </w:p>
    <w:p w14:paraId="40D0C42D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2402D4CE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5"/>
        <w:rPr>
          <w:rFonts w:ascii="Arial" w:eastAsia="Arial" w:hAnsi="Arial" w:cs="Arial"/>
          <w:color w:val="000000"/>
          <w:sz w:val="20"/>
          <w:szCs w:val="20"/>
          <w:lang w:val="pt-BR"/>
        </w:rPr>
      </w:pPr>
    </w:p>
    <w:p w14:paraId="1BAAB03D" w14:textId="77777777" w:rsidR="004A7D22" w:rsidRPr="000A5F78" w:rsidRDefault="00000000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ind w:left="0" w:firstLine="0"/>
        <w:rPr>
          <w:lang w:val="pt-BR"/>
        </w:rPr>
      </w:pPr>
      <w:r w:rsidRPr="000A5F78">
        <w:rPr>
          <w:rFonts w:ascii="Arial" w:eastAsia="Arial" w:hAnsi="Arial" w:cs="Arial"/>
          <w:lang w:val="pt-BR"/>
        </w:rPr>
        <w:t>DO CONTROLE E FISCALIZAÇÃO DA EXECUÇÃO</w:t>
      </w:r>
    </w:p>
    <w:p w14:paraId="7E37DFFC" w14:textId="13C7175D" w:rsidR="004A7D22" w:rsidRPr="000A5F78" w:rsidRDefault="00064D3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74" w:line="288" w:lineRule="auto"/>
        <w:ind w:left="0" w:right="209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Será designado o Diretor Geral para acompanhar e fiscalizar a entrega dos bens, anotando em registro próprio todas as ocorrências relacionadas com a execução e determinando o que for necessário à regularização de falhas ou defeitos observados.</w:t>
      </w:r>
    </w:p>
    <w:p w14:paraId="4098BFDB" w14:textId="77777777" w:rsidR="004A7D22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64" w:line="288" w:lineRule="auto"/>
        <w:ind w:left="0" w:right="214" w:firstLine="0"/>
        <w:jc w:val="both"/>
        <w:rPr>
          <w:color w:val="000000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A fiscalização de que trata este item não exclui nem reduz a responsabilidade da Contratada, inclusive perante terceiros, por qualquer irregularidade, ainda que resultante de imperfeições técnicas ou vícios 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lastRenderedPageBreak/>
        <w:t xml:space="preserve">redibitórios, </w:t>
      </w:r>
      <w:r w:rsidRPr="000A5F78">
        <w:rPr>
          <w:rFonts w:ascii="Arial" w:eastAsia="Arial" w:hAnsi="Arial" w:cs="Arial"/>
          <w:color w:val="000000"/>
          <w:lang w:val="pt-BR"/>
        </w:rPr>
        <w:t xml:space="preserve">e, na ocorrência desta, não implica em corresponsabilidade da Administração ou de seus agentes e prepostos, de conformidade com o art. </w:t>
      </w:r>
      <w:r>
        <w:rPr>
          <w:rFonts w:ascii="Arial" w:eastAsia="Arial" w:hAnsi="Arial" w:cs="Arial"/>
          <w:color w:val="000000"/>
        </w:rPr>
        <w:t>XXXXX.</w:t>
      </w:r>
    </w:p>
    <w:p w14:paraId="3F051165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8" w:line="288" w:lineRule="auto"/>
        <w:ind w:left="0" w:right="210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O representante da Administração anotará em registro próprio todas as ocorrências relacionadas com a execução do serviço, indicando dia, mês e ano, bem como o nome dos funcionários eventualmente envolvidos, determinando o que for necessário à regularização das falhas ou defeitos observados e encaminhando os apontamentos à autoridade competente para as providências cabíveis.</w:t>
      </w:r>
    </w:p>
    <w:p w14:paraId="40792B8E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0388B497" w14:textId="77777777" w:rsidR="004A7D22" w:rsidRDefault="00000000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spacing w:before="175"/>
        <w:ind w:left="0" w:firstLine="0"/>
      </w:pPr>
      <w:r>
        <w:rPr>
          <w:rFonts w:ascii="Arial" w:eastAsia="Arial" w:hAnsi="Arial" w:cs="Arial"/>
        </w:rPr>
        <w:t>DO PAGAMENTO</w:t>
      </w:r>
    </w:p>
    <w:p w14:paraId="2E84BBB4" w14:textId="343E21A9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74" w:line="288" w:lineRule="auto"/>
        <w:ind w:left="0" w:right="216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O pagamento será realizado no prazo máximo de até </w:t>
      </w:r>
      <w:r w:rsidR="00064D32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05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(</w:t>
      </w:r>
      <w:r w:rsidR="00064D32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cinco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) dias, contados a partir do recebimento da Nota Fiscal ou Fatura, através de ordem bancária, para crédito em banco, agência e </w:t>
      </w:r>
      <w:proofErr w:type="spellStart"/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conta-corrente</w:t>
      </w:r>
      <w:proofErr w:type="spellEnd"/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indicados pelo contratado.</w:t>
      </w:r>
    </w:p>
    <w:p w14:paraId="3521C0BB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16" w:line="288" w:lineRule="auto"/>
        <w:ind w:left="0" w:right="215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Considera-se ocorrido o recebimento da nota fiscal ou fatura no momento em que o órgão contratante atestar a execução do objeto do serviço.</w:t>
      </w:r>
    </w:p>
    <w:p w14:paraId="6AEBA5B1" w14:textId="6CF9B3C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300"/>
        </w:tabs>
        <w:spacing w:before="118" w:line="288" w:lineRule="auto"/>
        <w:ind w:left="0" w:right="209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 Nota Fiscal ou Fatura deverá ser obrigatoriamente acompanhada da comprovação da regularidade fiscal, constatada por meio de consulta on-line, mediante consulta aos sítios eletrônicos oficiais</w:t>
      </w:r>
      <w:r w:rsidR="00056BC4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.</w:t>
      </w:r>
    </w:p>
    <w:p w14:paraId="6D405662" w14:textId="4272C93C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5" w:line="288" w:lineRule="auto"/>
        <w:ind w:left="0" w:right="214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Constatando-se, a situação de irregularidade do fornecedor contratado, deverão ser tomadas as providências previstas no art. 31 da Instrução Normativa nº 3, de 26 de abril de 2018.</w:t>
      </w:r>
    </w:p>
    <w:p w14:paraId="583EDAC5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17" w:line="288" w:lineRule="auto"/>
        <w:ind w:left="0" w:right="214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Havendo erro na apresentação da Nota Fiscal ou dos documentos pertinentes à contratação, ou, ainda, circunstância que impeça a liquidação da despesa, como, por exemplo, obrigação financeira pendente, decorrente de penalidade imposta ou inadimplência, o pagamento ficará sobrestado até que a Contratada providencie as medidas saneadoras. Nesta hipótese, o prazo para pagamento iniciar-se-á após a comprovação da regularização da situação, não acarretando qualquer ônus para a Contratante.</w:t>
      </w:r>
    </w:p>
    <w:p w14:paraId="7E5BAA6E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20"/>
        </w:tabs>
        <w:spacing w:before="112" w:line="288" w:lineRule="auto"/>
        <w:ind w:left="0" w:right="214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Será considerada data do pagamento o dia em que constar como emitida a ordem bancária para pagamento.</w:t>
      </w:r>
    </w:p>
    <w:p w14:paraId="1DA62943" w14:textId="027CD613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0"/>
        </w:tabs>
        <w:spacing w:before="117" w:line="288" w:lineRule="auto"/>
        <w:ind w:left="0" w:right="213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Antes de cada pagamento à contratada, será realizada consulta a</w:t>
      </w:r>
      <w:r w:rsidR="001E1521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s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condições de habilitação exigidas no Termo de Referência.</w:t>
      </w:r>
    </w:p>
    <w:p w14:paraId="0A89A704" w14:textId="2EB3FEC1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0"/>
        </w:tabs>
        <w:spacing w:before="118" w:line="288" w:lineRule="auto"/>
        <w:ind w:left="0" w:right="214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Constatando-se a situação de irregularidade da contratada, será providenciada sua notificação, por escrito, para que, no prazo de 5 (cinco) dias úteis, regularize sua situação ou, no mesmo prazo, apresente sua defesa. O prazo poderá ser prorrogado uma vez, por igual período, a critério da contratante.</w:t>
      </w:r>
    </w:p>
    <w:p w14:paraId="5DD8F65B" w14:textId="6D042AFE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0"/>
        </w:tabs>
        <w:spacing w:before="115" w:line="288" w:lineRule="auto"/>
        <w:ind w:left="0" w:right="217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lastRenderedPageBreak/>
        <w:t xml:space="preserve">Previamente à emissão de nota de empenho e a cada pagamento, a Administração deverá realizar consulta para identificar possível suspensão temporária de </w:t>
      </w:r>
      <w:r w:rsidRPr="000A5F78">
        <w:rPr>
          <w:rFonts w:ascii="Arial" w:eastAsia="Arial" w:hAnsi="Arial" w:cs="Arial"/>
          <w:color w:val="000000"/>
          <w:lang w:val="pt-BR"/>
        </w:rPr>
        <w:t>participação em licitação, no âmbito do órgão ou entidade, proibição de contratar com o Poder Público, bem como ocorrências impeditivas indiretas, observado o disposto no art. 29, da Instrução Normativa nº 3, de 26 de abril de 2018.</w:t>
      </w:r>
    </w:p>
    <w:p w14:paraId="676FD9D9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0"/>
        </w:tabs>
        <w:spacing w:before="117" w:line="288" w:lineRule="auto"/>
        <w:ind w:left="0" w:right="208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Não havendo regularização ou sendo a defesa considerada improcedente, a contratante deverá comunicar aos órgãos responsáveis pela fiscalização da regularidade fiscal quanto à inadimplência da contratada, bem como quanto à existência de pagamento a ser efetuado, para que sejam acionados os meios pertinentes e necessários para garantir o recebimento de seus créditos.</w:t>
      </w:r>
    </w:p>
    <w:p w14:paraId="49053D09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5"/>
        </w:tabs>
        <w:spacing w:before="114" w:line="288" w:lineRule="auto"/>
        <w:ind w:left="0" w:right="208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Persistindo a irregularidade, a contratante deverá adotar as medidas necessárias à rescisão contratual nos autos do processo administrativo correspondente, assegurada à contratada a ampla defesa.</w:t>
      </w:r>
    </w:p>
    <w:p w14:paraId="69036EFD" w14:textId="70FE1473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5"/>
        </w:tabs>
        <w:spacing w:before="116" w:line="288" w:lineRule="auto"/>
        <w:ind w:left="0" w:right="208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Havendo a efetiva execução do objeto, os pagamentos serão realizados normalmente, até que se decida pela não execução do serviço, caso a contratada não regularize sua situação</w:t>
      </w:r>
      <w:r w:rsidR="00873813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.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</w:t>
      </w:r>
    </w:p>
    <w:p w14:paraId="43C5CF41" w14:textId="72BB12F7" w:rsidR="004A7D22" w:rsidRPr="000A5F7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17" w:line="288" w:lineRule="auto"/>
        <w:ind w:right="211"/>
        <w:jc w:val="both"/>
        <w:rPr>
          <w:rFonts w:ascii="Arial" w:eastAsia="Arial" w:hAnsi="Arial" w:cs="Arial"/>
          <w:color w:val="000000"/>
          <w:sz w:val="24"/>
          <w:szCs w:val="24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10.11.1.   Será interrompido o serviço em execução com a contratada inadimplente, salvo por motivo de economicidade, segurança nacional ou outro de interesse público de alta relevância, devidamente justificado, em qualquer caso, pela máxima autoridade da contratante.</w:t>
      </w:r>
    </w:p>
    <w:p w14:paraId="16ACC74F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5"/>
        </w:tabs>
        <w:spacing w:before="115" w:line="288" w:lineRule="auto"/>
        <w:ind w:left="0" w:right="216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Quando do pagamento, será efetuada a retenção tributária prevista na legislação aplicável.</w:t>
      </w:r>
    </w:p>
    <w:p w14:paraId="7D66DB3E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840"/>
        </w:tabs>
        <w:spacing w:before="118" w:line="288" w:lineRule="auto"/>
        <w:ind w:left="0" w:right="212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 Contratada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14:paraId="6DF5C68B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360"/>
        </w:tabs>
        <w:spacing w:before="113" w:line="288" w:lineRule="auto"/>
        <w:ind w:left="0" w:right="218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Nos casos de eventuais atrasos de pagamento, desde que a Contratada não tenha concorrido, de alguma forma, para tanto, fica convencionado que a taxa de compensação financeira devida pela Contratante, entre a data do vencimento e o efetivo adimplemento da parcela, é calculada mediante a aplicação da seguinte fórmula:</w:t>
      </w:r>
    </w:p>
    <w:p w14:paraId="08CEA76E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360"/>
        </w:tabs>
        <w:spacing w:before="113" w:line="288" w:lineRule="auto"/>
        <w:ind w:right="218"/>
        <w:rPr>
          <w:rFonts w:ascii="Arial" w:eastAsia="Arial" w:hAnsi="Arial" w:cs="Arial"/>
          <w:color w:val="000000"/>
          <w:sz w:val="24"/>
          <w:szCs w:val="24"/>
          <w:lang w:val="pt-BR"/>
        </w:rPr>
      </w:pPr>
    </w:p>
    <w:p w14:paraId="7AF9CDD8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5"/>
        <w:rPr>
          <w:rFonts w:ascii="Arial" w:eastAsia="Arial" w:hAnsi="Arial" w:cs="Arial"/>
          <w:color w:val="000000"/>
          <w:sz w:val="20"/>
          <w:szCs w:val="20"/>
          <w:lang w:val="pt-BR"/>
        </w:rPr>
      </w:pPr>
    </w:p>
    <w:p w14:paraId="5C5AE216" w14:textId="77777777" w:rsidR="004A7D22" w:rsidRDefault="00000000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ind w:left="0" w:firstLine="0"/>
      </w:pPr>
      <w:r>
        <w:rPr>
          <w:rFonts w:ascii="Arial" w:eastAsia="Arial" w:hAnsi="Arial" w:cs="Arial"/>
        </w:rPr>
        <w:t>DO REAJUSTE</w:t>
      </w:r>
    </w:p>
    <w:p w14:paraId="25A04155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9"/>
          <w:tab w:val="left" w:pos="1270"/>
        </w:tabs>
        <w:spacing w:before="174" w:line="288" w:lineRule="auto"/>
        <w:ind w:left="0" w:right="212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Os preços são fixos e irreajustáveis no prazo de um ano contado da data limite para a apresentação das propostas.</w:t>
      </w:r>
    </w:p>
    <w:p w14:paraId="0FF71D78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163231EE" w14:textId="77777777" w:rsidR="004A7D22" w:rsidRDefault="00000000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spacing w:before="179"/>
        <w:ind w:left="0" w:firstLine="0"/>
      </w:pPr>
      <w:r>
        <w:rPr>
          <w:rFonts w:ascii="Arial" w:eastAsia="Arial" w:hAnsi="Arial" w:cs="Arial"/>
        </w:rPr>
        <w:t>DAS SANÇÕES ADMINISTRATIVAS</w:t>
      </w:r>
    </w:p>
    <w:p w14:paraId="1EB226D1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9"/>
          <w:tab w:val="left" w:pos="1270"/>
        </w:tabs>
        <w:spacing w:before="174" w:line="288" w:lineRule="auto"/>
        <w:ind w:left="0" w:right="219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Comete infração administrativa nos termos da Lei nº 10.520, de 2002, a Contratada que:</w:t>
      </w:r>
    </w:p>
    <w:p w14:paraId="3387F1F9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7" w:line="288" w:lineRule="auto"/>
        <w:ind w:left="0" w:right="213" w:firstLine="0"/>
        <w:jc w:val="both"/>
        <w:rPr>
          <w:color w:val="000000"/>
          <w:lang w:val="pt-BR"/>
        </w:rPr>
      </w:pPr>
      <w:proofErr w:type="spellStart"/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inexecutar</w:t>
      </w:r>
      <w:proofErr w:type="spellEnd"/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total ou parcialmente qualquer das obrigações assumidas em decorrência da contratação;</w:t>
      </w:r>
    </w:p>
    <w:p w14:paraId="015AB354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8"/>
        <w:ind w:left="0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ensejar o retardamento da execução do objeto;</w:t>
      </w:r>
    </w:p>
    <w:p w14:paraId="0F9E5724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74"/>
        <w:ind w:left="0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falhar ou fraudar na execução do serviço;</w:t>
      </w:r>
    </w:p>
    <w:p w14:paraId="4881A757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74"/>
        <w:ind w:left="0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comportar-se de modo inidôneo;</w:t>
      </w:r>
    </w:p>
    <w:p w14:paraId="30FDA0D7" w14:textId="77777777" w:rsidR="004A7D22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74"/>
        <w:ind w:left="0" w:firstLine="0"/>
        <w:jc w:val="both"/>
        <w:rPr>
          <w:color w:val="000000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cometer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fraude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fiscal;</w:t>
      </w:r>
    </w:p>
    <w:p w14:paraId="0D102D61" w14:textId="77777777" w:rsidR="004A7D22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</w:rPr>
      </w:pPr>
    </w:p>
    <w:p w14:paraId="40A98A7A" w14:textId="77777777" w:rsidR="004A7D22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3"/>
        <w:rPr>
          <w:rFonts w:ascii="Arial" w:eastAsia="Arial" w:hAnsi="Arial" w:cs="Arial"/>
          <w:color w:val="000000"/>
          <w:sz w:val="28"/>
          <w:szCs w:val="28"/>
        </w:rPr>
      </w:pPr>
    </w:p>
    <w:p w14:paraId="4332328D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9"/>
          <w:tab w:val="left" w:pos="1270"/>
        </w:tabs>
        <w:spacing w:line="288" w:lineRule="auto"/>
        <w:ind w:left="0" w:right="182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Pela inexecução </w:t>
      </w:r>
      <w:r w:rsidRPr="000A5F78">
        <w:rPr>
          <w:rFonts w:ascii="Arial" w:eastAsia="Arial" w:hAnsi="Arial" w:cs="Arial"/>
          <w:color w:val="000000"/>
          <w:sz w:val="24"/>
          <w:szCs w:val="24"/>
          <w:u w:val="single"/>
          <w:lang w:val="pt-BR"/>
        </w:rPr>
        <w:t>total ou parcial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do serviço, a Administração pode aplicar à CONTRATADA as seguintes sanções:</w:t>
      </w:r>
    </w:p>
    <w:p w14:paraId="77CA28F4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8" w:line="288" w:lineRule="auto"/>
        <w:ind w:left="0" w:right="221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Advertência, por faltas leves, assim entendidas aquelas que não acarretem prejuízos significativos para a Contratante;</w:t>
      </w:r>
    </w:p>
    <w:p w14:paraId="219221C3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8" w:line="288" w:lineRule="auto"/>
        <w:ind w:left="0" w:right="208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multa moratória de 1% (um por cento) por dia de atraso injustificado sobre o valor da parcela inadimplida, até o limite de 30 (trinta) dias;</w:t>
      </w:r>
    </w:p>
    <w:p w14:paraId="7E25F8E6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7" w:line="288" w:lineRule="auto"/>
        <w:ind w:left="0" w:right="220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multa compensatória de 10% (dez por cento) sobre o valor total do serviço, no caso de inexecução total do objeto;</w:t>
      </w:r>
    </w:p>
    <w:p w14:paraId="11CA7F33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8" w:line="288" w:lineRule="auto"/>
        <w:ind w:left="0" w:right="211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em caso de inexecução parcial, a multa compensatória, no mesmo percentual do subitem acima, será aplicada de forma proporcional à obrigação inadimplida;</w:t>
      </w:r>
    </w:p>
    <w:p w14:paraId="207E93E2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6" w:line="288" w:lineRule="auto"/>
        <w:ind w:left="0" w:right="208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suspensão de licitar e impedimento de contratar com o órgão, entidade ou unidade administrativa pela qual a Administração Pública opera e atua concretamente, pelo prazo de até dois anos;</w:t>
      </w:r>
    </w:p>
    <w:p w14:paraId="32FBFC1A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7" w:line="288" w:lineRule="auto"/>
        <w:ind w:left="0" w:right="223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impedimento de licitar e contratar com órgãos e entidades da União com o consequente descredenciamento no SICAF pelo prazo de até cinco anos;</w:t>
      </w:r>
    </w:p>
    <w:p w14:paraId="0803315D" w14:textId="77777777" w:rsidR="004A7D22" w:rsidRPr="000A5F7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64" w:line="288" w:lineRule="auto"/>
        <w:ind w:right="183"/>
        <w:jc w:val="both"/>
        <w:rPr>
          <w:rFonts w:ascii="Arial" w:eastAsia="Arial" w:hAnsi="Arial" w:cs="Arial"/>
          <w:color w:val="000000"/>
          <w:sz w:val="24"/>
          <w:szCs w:val="24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11.2.6.1.1. A sanção de impedimento de licitar e contratar prevista neste subitem também é aplicável em quaisquer das hipóteses previstas como infração administrativa no subitem 16.1 deste Termo de Referência.</w:t>
      </w:r>
    </w:p>
    <w:p w14:paraId="7D896DEF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5" w:line="288" w:lineRule="auto"/>
        <w:ind w:left="0" w:right="213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declaração de inidoneidade para licitar ou contratar com a Administração Pública, enquanto perdurarem os motivos determinantes da punição ou até que seja promovida a reabilitação perante a própria autoridade que aplicou a penalidade, que será concedida sempre que a Contratada ressarcir a Contratante pelos prejuízos causados;</w:t>
      </w:r>
    </w:p>
    <w:p w14:paraId="1C4B7006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5"/>
        </w:tabs>
        <w:spacing w:before="114" w:line="288" w:lineRule="auto"/>
        <w:ind w:left="0" w:right="187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As sanções previstas nos subitens 16.2.1, 16.2.5, 16.2.6 e 16.2.7 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lastRenderedPageBreak/>
        <w:t>poderão ser aplicadas à CONTRATADA acompanhada de as de multa, descontando-a dos pagamentos a serem efetuados.</w:t>
      </w:r>
    </w:p>
    <w:p w14:paraId="151555F2" w14:textId="1083A95D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95"/>
        </w:tabs>
        <w:spacing w:before="117" w:line="288" w:lineRule="auto"/>
        <w:ind w:left="0" w:right="217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Também ficam sujeitas às penalidades</w:t>
      </w:r>
      <w:r w:rsidR="00CD0798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as empresas ou profissionais que:</w:t>
      </w:r>
    </w:p>
    <w:p w14:paraId="6E8EEE7E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8" w:line="288" w:lineRule="auto"/>
        <w:ind w:left="0" w:right="210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tenham sofrido condenação definitiva por praticar, por meio dolosos, fraude fiscal no recolhimento de quaisquer tributos;</w:t>
      </w:r>
    </w:p>
    <w:p w14:paraId="7C603FD8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7"/>
        <w:ind w:left="0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tenham praticado atos ilícitos visando a frustrar os objetivos da licitação;</w:t>
      </w:r>
    </w:p>
    <w:p w14:paraId="137E4D37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7"/>
        <w:rPr>
          <w:rFonts w:ascii="Arial" w:eastAsia="Arial" w:hAnsi="Arial" w:cs="Arial"/>
          <w:color w:val="000000"/>
          <w:sz w:val="25"/>
          <w:szCs w:val="25"/>
          <w:lang w:val="pt-BR"/>
        </w:rPr>
      </w:pPr>
    </w:p>
    <w:p w14:paraId="6F64E150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line="288" w:lineRule="auto"/>
        <w:ind w:left="0" w:right="217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demonstrem não possuir idoneidade para contratar com a Administração em virtude de atos ilícitos praticados.</w:t>
      </w:r>
    </w:p>
    <w:p w14:paraId="0C24ABF5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17" w:line="288" w:lineRule="auto"/>
        <w:ind w:left="0" w:right="217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 aplicação de qualquer das penalidades previstas realizar-se-á em processo administrativo que assegurará o contraditório e a ampla defesa à Contratada, observando-se o procedimento previsto na Lei nº 14133, e subsidiariamente a Lei nº 9.784, de 1999.</w:t>
      </w:r>
    </w:p>
    <w:p w14:paraId="75E58D13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16" w:line="288" w:lineRule="auto"/>
        <w:ind w:left="0" w:right="179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As multas devidas e/ou prejuízos causados à Contratante serão deduzidos dos valores a serem pagos, ou recolhidos em favor da União, ou deduzidos da garantia, ou ainda, quando for o caso, serão inscritos na Dívida Ativa da União e cobrados judicialmente.</w:t>
      </w:r>
    </w:p>
    <w:p w14:paraId="0261FF27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15" w:line="288" w:lineRule="auto"/>
        <w:ind w:left="0" w:right="183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Caso o valor da multa não seja suficiente para cobrir os prejuízos causados pela conduta do licitante, a União ou Entidade poderá cobrar o valor remanescente judicialmente, conforme artigo 419 do Código Civil.</w:t>
      </w:r>
    </w:p>
    <w:p w14:paraId="0486285B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5"/>
        </w:tabs>
        <w:spacing w:before="117" w:line="288" w:lineRule="auto"/>
        <w:ind w:left="0" w:right="183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 autoridade competente, na aplicação das sanções, levará em consideração a gravidade da conduta do infrator, o caráter educativo da pena, bem como o dano causado à Administração, observado o princípio da proporcionalidade.</w:t>
      </w:r>
    </w:p>
    <w:p w14:paraId="4A9F559A" w14:textId="7242ABC1" w:rsidR="004A7D22" w:rsidRPr="00B174BA" w:rsidRDefault="00000000" w:rsidP="00B174B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5"/>
        </w:tabs>
        <w:spacing w:before="64" w:line="288" w:lineRule="auto"/>
        <w:ind w:left="0" w:right="217" w:firstLine="0"/>
        <w:jc w:val="both"/>
        <w:rPr>
          <w:rFonts w:ascii="Arial" w:eastAsia="Arial" w:hAnsi="Arial" w:cs="Arial"/>
          <w:color w:val="000000"/>
          <w:sz w:val="24"/>
          <w:szCs w:val="24"/>
          <w:lang w:val="pt-BR"/>
        </w:rPr>
      </w:pPr>
      <w:r w:rsidRPr="00B174BA">
        <w:rPr>
          <w:rFonts w:ascii="Arial" w:eastAsia="Arial" w:hAnsi="Arial" w:cs="Arial"/>
          <w:color w:val="000000"/>
          <w:sz w:val="24"/>
          <w:szCs w:val="24"/>
          <w:lang w:val="pt-BR"/>
        </w:rPr>
        <w:t>Se, durante o processo de aplicação de penalidade, se houver indícios de prática de infração administrativa tipificada pela Lei nº 12.846, de 1º de agosto de 2013, como ato lesivo à administração pública nacional ou estrangeira, cópias dos processos administrativos necessários à apuração da responsabilidade da empresa deverão ser remetidas à autoridade competente, com despacho fundamentado, para ciência e</w:t>
      </w:r>
      <w:r w:rsidR="00B174BA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</w:t>
      </w:r>
      <w:r w:rsidRPr="00B174BA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decisão sobre a eventual instauração de investigação preliminar ou Processo </w:t>
      </w:r>
      <w:r w:rsidR="00EC665D" w:rsidRPr="00B174BA">
        <w:rPr>
          <w:rFonts w:ascii="Arial" w:eastAsia="Arial" w:hAnsi="Arial" w:cs="Arial"/>
          <w:color w:val="000000"/>
          <w:sz w:val="24"/>
          <w:szCs w:val="24"/>
          <w:lang w:val="pt-BR"/>
        </w:rPr>
        <w:t>Administrativ</w:t>
      </w:r>
      <w:r w:rsidR="00B174BA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o </w:t>
      </w:r>
      <w:r w:rsidRPr="00B174BA">
        <w:rPr>
          <w:rFonts w:ascii="Arial" w:eastAsia="Arial" w:hAnsi="Arial" w:cs="Arial"/>
          <w:color w:val="000000"/>
          <w:sz w:val="24"/>
          <w:szCs w:val="24"/>
          <w:lang w:val="pt-BR"/>
        </w:rPr>
        <w:t>de Responsabilização – PAR.</w:t>
      </w:r>
    </w:p>
    <w:p w14:paraId="5DA3D81D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before="118" w:line="288" w:lineRule="auto"/>
        <w:ind w:left="0" w:right="220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 apuração e o julgamento das demais infrações administrativas não consideradas como ato lesivo à Administração Pública nacional ou estrangeira nos termos da Lei nº 12.846, de 1º de agosto de 2013, seguirão seu rito normal na unidade administrativa.</w:t>
      </w:r>
    </w:p>
    <w:p w14:paraId="21505D25" w14:textId="6486FA4A" w:rsidR="004A7D22" w:rsidRPr="000A5F78" w:rsidRDefault="00000000" w:rsidP="008219D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5"/>
        </w:tabs>
        <w:spacing w:before="116" w:line="288" w:lineRule="auto"/>
        <w:ind w:left="0" w:right="209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O processamento do PAR não interfere no seguimento regular dos processos administrativos específicos para apuração da ocorrência de danos 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lastRenderedPageBreak/>
        <w:t>e prejuízos à Administração Pública Federal resultantes de ato lesivo cometido por pessoa jurídica, com ou sem a participação de agente públic</w:t>
      </w:r>
      <w:r w:rsidR="008219DF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o.</w:t>
      </w:r>
    </w:p>
    <w:p w14:paraId="231219E7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08787502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3"/>
        <w:rPr>
          <w:rFonts w:ascii="Arial" w:eastAsia="Arial" w:hAnsi="Arial" w:cs="Arial"/>
          <w:color w:val="000000"/>
          <w:sz w:val="28"/>
          <w:szCs w:val="28"/>
          <w:lang w:val="pt-BR"/>
        </w:rPr>
      </w:pPr>
    </w:p>
    <w:p w14:paraId="102D8926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3DF32BDB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3"/>
        <w:rPr>
          <w:rFonts w:ascii="Arial" w:eastAsia="Arial" w:hAnsi="Arial" w:cs="Arial"/>
          <w:color w:val="000000"/>
          <w:sz w:val="28"/>
          <w:szCs w:val="28"/>
          <w:lang w:val="pt-BR"/>
        </w:rPr>
      </w:pPr>
    </w:p>
    <w:p w14:paraId="34E63B1D" w14:textId="77777777" w:rsidR="004A7D22" w:rsidRDefault="00000000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ind w:left="0" w:firstLine="0"/>
      </w:pPr>
      <w:r>
        <w:rPr>
          <w:rFonts w:ascii="Arial" w:eastAsia="Arial" w:hAnsi="Arial" w:cs="Arial"/>
        </w:rPr>
        <w:t>DESPACHO DO ORDENADOR DE DESPESAS</w:t>
      </w:r>
    </w:p>
    <w:p w14:paraId="7F76971B" w14:textId="77777777" w:rsidR="004A7D22" w:rsidRPr="000A5F7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74" w:line="288" w:lineRule="auto"/>
        <w:ind w:right="213"/>
        <w:jc w:val="both"/>
        <w:rPr>
          <w:rFonts w:ascii="Arial" w:eastAsia="Arial" w:hAnsi="Arial" w:cs="Arial"/>
          <w:color w:val="000000"/>
          <w:sz w:val="24"/>
          <w:szCs w:val="24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O documento apresentado descreve de maneira adequada o planejamento da contratação, permitindo a avaliação de custos e demandas, e possui anexo os orçamentos e planilhas de preços de mercado, definindo a sistemática de suprimento, critérios de aceitação do objeto, deveres do Licitante e da Administração, procedimentos de fiscalização e gerenciamento, prazos de entrega e a possibilidade de sanções administrativas, de forma clara, concisa e objetiva.</w:t>
      </w:r>
    </w:p>
    <w:p w14:paraId="038FE345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"/>
        <w:rPr>
          <w:rFonts w:ascii="Arial" w:eastAsia="Arial" w:hAnsi="Arial" w:cs="Arial"/>
          <w:color w:val="000000"/>
          <w:sz w:val="28"/>
          <w:szCs w:val="28"/>
          <w:lang w:val="pt-BR"/>
        </w:rPr>
      </w:pPr>
    </w:p>
    <w:p w14:paraId="420E764E" w14:textId="42B2993F" w:rsidR="004A7D22" w:rsidRPr="000A5F7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88" w:lineRule="auto"/>
        <w:ind w:right="215"/>
        <w:jc w:val="both"/>
        <w:rPr>
          <w:rFonts w:ascii="Arial" w:eastAsia="Arial" w:hAnsi="Arial" w:cs="Arial"/>
          <w:color w:val="000000"/>
          <w:sz w:val="24"/>
          <w:szCs w:val="24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Dessa forma, aprovo o presente Termo de Referência.</w:t>
      </w:r>
    </w:p>
    <w:p w14:paraId="3FDD5691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01A0ED6B" w14:textId="77777777" w:rsidR="00EC665D" w:rsidRPr="000A5F78" w:rsidRDefault="00EC66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2F4B4679" w14:textId="77777777" w:rsidR="00EC665D" w:rsidRPr="000A5F78" w:rsidRDefault="00EC66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797A16B0" w14:textId="77777777" w:rsidR="00EC665D" w:rsidRPr="000A5F78" w:rsidRDefault="00EC66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3E71548C" w14:textId="77777777" w:rsidR="00EC665D" w:rsidRPr="000A5F78" w:rsidRDefault="00EC66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5B9AA92B" w14:textId="77777777" w:rsidR="00EC665D" w:rsidRPr="000A5F78" w:rsidRDefault="00EC66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04E01DB8" w14:textId="77777777" w:rsidR="00EC665D" w:rsidRPr="000A5F78" w:rsidRDefault="00EC66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5E2DFD97" w14:textId="77777777" w:rsidR="00EC665D" w:rsidRPr="000A5F78" w:rsidRDefault="00EC66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673EB07A" w14:textId="20B22782" w:rsidR="00EC665D" w:rsidRPr="000A5F78" w:rsidRDefault="00EC66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  <w:r w:rsidRPr="00B174BA">
        <w:rPr>
          <w:rFonts w:ascii="Arial" w:eastAsia="Arial" w:hAnsi="Arial" w:cs="Arial"/>
          <w:color w:val="000000"/>
          <w:sz w:val="26"/>
          <w:szCs w:val="26"/>
          <w:lang w:val="pt-BR"/>
        </w:rPr>
        <w:t xml:space="preserve">Arroio Grande, </w:t>
      </w:r>
      <w:r w:rsidR="00B174BA">
        <w:rPr>
          <w:rFonts w:ascii="Arial" w:eastAsia="Arial" w:hAnsi="Arial" w:cs="Arial"/>
          <w:color w:val="000000"/>
          <w:sz w:val="26"/>
          <w:szCs w:val="26"/>
          <w:lang w:val="pt-BR"/>
        </w:rPr>
        <w:t>0</w:t>
      </w:r>
      <w:r w:rsidR="00935AE6">
        <w:rPr>
          <w:rFonts w:ascii="Arial" w:eastAsia="Arial" w:hAnsi="Arial" w:cs="Arial"/>
          <w:color w:val="000000"/>
          <w:sz w:val="26"/>
          <w:szCs w:val="26"/>
          <w:lang w:val="pt-BR"/>
        </w:rPr>
        <w:t>9</w:t>
      </w:r>
      <w:r w:rsidRPr="00B174BA">
        <w:rPr>
          <w:rFonts w:ascii="Arial" w:eastAsia="Arial" w:hAnsi="Arial" w:cs="Arial"/>
          <w:color w:val="000000"/>
          <w:sz w:val="26"/>
          <w:szCs w:val="26"/>
          <w:lang w:val="pt-BR"/>
        </w:rPr>
        <w:t xml:space="preserve"> de</w:t>
      </w:r>
      <w:r w:rsidR="00405853" w:rsidRPr="00B174BA">
        <w:rPr>
          <w:rFonts w:ascii="Arial" w:eastAsia="Arial" w:hAnsi="Arial" w:cs="Arial"/>
          <w:color w:val="000000"/>
          <w:sz w:val="26"/>
          <w:szCs w:val="26"/>
          <w:lang w:val="pt-BR"/>
        </w:rPr>
        <w:t xml:space="preserve"> </w:t>
      </w:r>
      <w:r w:rsidR="00B174BA">
        <w:rPr>
          <w:rFonts w:ascii="Arial" w:eastAsia="Arial" w:hAnsi="Arial" w:cs="Arial"/>
          <w:color w:val="000000"/>
          <w:sz w:val="26"/>
          <w:szCs w:val="26"/>
          <w:lang w:val="pt-BR"/>
        </w:rPr>
        <w:t>abril</w:t>
      </w:r>
      <w:r w:rsidRPr="00B174BA">
        <w:rPr>
          <w:rFonts w:ascii="Arial" w:eastAsia="Arial" w:hAnsi="Arial" w:cs="Arial"/>
          <w:color w:val="000000"/>
          <w:sz w:val="26"/>
          <w:szCs w:val="26"/>
          <w:lang w:val="pt-BR"/>
        </w:rPr>
        <w:t xml:space="preserve"> de 2024</w:t>
      </w:r>
      <w:r w:rsidRPr="000A5F78">
        <w:rPr>
          <w:rFonts w:ascii="Arial" w:eastAsia="Arial" w:hAnsi="Arial" w:cs="Arial"/>
          <w:color w:val="000000"/>
          <w:sz w:val="26"/>
          <w:szCs w:val="26"/>
          <w:lang w:val="pt-BR"/>
        </w:rPr>
        <w:t>.</w:t>
      </w:r>
    </w:p>
    <w:p w14:paraId="16CE5982" w14:textId="77777777" w:rsidR="00A56875" w:rsidRPr="000A5F78" w:rsidRDefault="00A5687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6390801F" w14:textId="77777777" w:rsidR="00A56875" w:rsidRPr="000A5F78" w:rsidRDefault="00A5687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66652128" w14:textId="77777777" w:rsidR="00A56875" w:rsidRPr="000A5F78" w:rsidRDefault="00A5687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6C3FFE3D" w14:textId="77777777" w:rsidR="00A56875" w:rsidRPr="000A5F78" w:rsidRDefault="00A5687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79C6A904" w14:textId="77777777" w:rsidR="00A56875" w:rsidRPr="000A5F78" w:rsidRDefault="00A5687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504D5EA4" w14:textId="77777777" w:rsidR="00A56875" w:rsidRPr="000A5F78" w:rsidRDefault="00A5687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5E7AD183" w14:textId="77777777" w:rsidR="00A56875" w:rsidRPr="000A5F78" w:rsidRDefault="00A5687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1387E2E2" w14:textId="77777777" w:rsidR="00A56875" w:rsidRPr="000A5F78" w:rsidRDefault="00A5687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bookmarkEnd w:id="0"/>
    <w:p w14:paraId="34F2CCF6" w14:textId="77777777" w:rsidR="00A56875" w:rsidRPr="000A5F78" w:rsidRDefault="00A5687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sectPr w:rsidR="00A56875" w:rsidRPr="000A5F78">
      <w:headerReference w:type="default" r:id="rId10"/>
      <w:footerReference w:type="default" r:id="rId11"/>
      <w:pgSz w:w="11920" w:h="16840"/>
      <w:pgMar w:top="1417" w:right="1701" w:bottom="1417" w:left="1701" w:header="0" w:footer="9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556EE" w14:textId="77777777" w:rsidR="00362BA0" w:rsidRDefault="00362BA0">
      <w:r>
        <w:separator/>
      </w:r>
    </w:p>
  </w:endnote>
  <w:endnote w:type="continuationSeparator" w:id="0">
    <w:p w14:paraId="4A8F30EA" w14:textId="77777777" w:rsidR="00362BA0" w:rsidRDefault="00362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A3496" w14:textId="77777777" w:rsidR="004A7D22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pict w14:anchorId="7EE88217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-6.55pt;margin-top:783.65pt;width:233.15pt;height:23.75pt;z-index:-15844864;mso-position-horizontal:absolute;mso-position-horizontal-relative:margin;mso-position-vertical:absolute;mso-position-vertical-relative:text" filled="f" stroked="f">
          <v:textbox style="mso-next-textbox:#docshape1" inset="0,0,0,0">
            <w:txbxContent>
              <w:p w14:paraId="2CAF2EC4" w14:textId="77777777" w:rsidR="000679CB" w:rsidRDefault="000679CB">
                <w:pPr>
                  <w:spacing w:before="16" w:line="261" w:lineRule="auto"/>
                  <w:ind w:left="20"/>
                  <w:rPr>
                    <w:rFonts w:ascii="Arial" w:hAnsi="Arial"/>
                    <w:sz w:val="12"/>
                  </w:rPr>
                </w:pPr>
              </w:p>
            </w:txbxContent>
          </v:textbox>
          <w10:wrap anchorx="margin"/>
        </v:shape>
      </w:pict>
    </w:r>
    <w:r>
      <w:pict w14:anchorId="38D3B40D">
        <v:line id="_x0000_s1026" style="position:absolute;z-index:-15845376;mso-position-horizontal:absolute;mso-position-horizontal-relative:margin;mso-position-vertical:absolute;mso-position-vertical-relative:text" from="-6.05pt,783.85pt" to="333.8pt,783.85pt" strokeweight=".4pt">
          <w10:wrap anchorx="margin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BC82A" w14:textId="77777777" w:rsidR="00362BA0" w:rsidRDefault="00362BA0">
      <w:r>
        <w:separator/>
      </w:r>
    </w:p>
  </w:footnote>
  <w:footnote w:type="continuationSeparator" w:id="0">
    <w:p w14:paraId="40D7FE60" w14:textId="77777777" w:rsidR="00362BA0" w:rsidRDefault="00362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BA864" w14:textId="587E085A" w:rsidR="004A7D22" w:rsidRDefault="004A7D2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134" w:hanging="142"/>
      <w:rPr>
        <w:color w:val="000000"/>
      </w:rPr>
    </w:pPr>
  </w:p>
  <w:p w14:paraId="4D67F372" w14:textId="77777777" w:rsidR="004A7D22" w:rsidRDefault="004A7D2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993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A4F31"/>
    <w:multiLevelType w:val="multilevel"/>
    <w:tmpl w:val="987C7164"/>
    <w:lvl w:ilvl="0">
      <w:start w:val="1"/>
      <w:numFmt w:val="decimal"/>
      <w:lvlText w:val="%1."/>
      <w:lvlJc w:val="left"/>
      <w:pPr>
        <w:ind w:left="490" w:hanging="36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850" w:hanging="435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70" w:hanging="72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3">
      <w:numFmt w:val="bullet"/>
      <w:lvlText w:val="•"/>
      <w:lvlJc w:val="left"/>
      <w:pPr>
        <w:ind w:left="840" w:hanging="720"/>
      </w:pPr>
    </w:lvl>
    <w:lvl w:ilvl="4">
      <w:numFmt w:val="bullet"/>
      <w:lvlText w:val="•"/>
      <w:lvlJc w:val="left"/>
      <w:pPr>
        <w:ind w:left="860" w:hanging="720"/>
      </w:pPr>
    </w:lvl>
    <w:lvl w:ilvl="5">
      <w:numFmt w:val="bullet"/>
      <w:lvlText w:val="•"/>
      <w:lvlJc w:val="left"/>
      <w:pPr>
        <w:ind w:left="1120" w:hanging="720"/>
      </w:pPr>
    </w:lvl>
    <w:lvl w:ilvl="6">
      <w:numFmt w:val="bullet"/>
      <w:lvlText w:val="•"/>
      <w:lvlJc w:val="left"/>
      <w:pPr>
        <w:ind w:left="1280" w:hanging="720"/>
      </w:pPr>
    </w:lvl>
    <w:lvl w:ilvl="7">
      <w:numFmt w:val="bullet"/>
      <w:lvlText w:val="•"/>
      <w:lvlJc w:val="left"/>
      <w:pPr>
        <w:ind w:left="3340" w:hanging="720"/>
      </w:pPr>
    </w:lvl>
    <w:lvl w:ilvl="8">
      <w:numFmt w:val="bullet"/>
      <w:lvlText w:val="•"/>
      <w:lvlJc w:val="left"/>
      <w:pPr>
        <w:ind w:left="5400" w:hanging="720"/>
      </w:pPr>
    </w:lvl>
  </w:abstractNum>
  <w:num w:numId="1" w16cid:durableId="1105729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D22"/>
    <w:rsid w:val="00056BC4"/>
    <w:rsid w:val="00064D32"/>
    <w:rsid w:val="000679CB"/>
    <w:rsid w:val="00094560"/>
    <w:rsid w:val="000A507D"/>
    <w:rsid w:val="000A5F78"/>
    <w:rsid w:val="000D6308"/>
    <w:rsid w:val="0011259E"/>
    <w:rsid w:val="001246A4"/>
    <w:rsid w:val="001B7117"/>
    <w:rsid w:val="001C0369"/>
    <w:rsid w:val="001D5558"/>
    <w:rsid w:val="001E1521"/>
    <w:rsid w:val="0023080A"/>
    <w:rsid w:val="002D68B9"/>
    <w:rsid w:val="002D69E0"/>
    <w:rsid w:val="00362BA0"/>
    <w:rsid w:val="003E3343"/>
    <w:rsid w:val="003F003B"/>
    <w:rsid w:val="00405853"/>
    <w:rsid w:val="0041451B"/>
    <w:rsid w:val="00422F36"/>
    <w:rsid w:val="004A7D22"/>
    <w:rsid w:val="00517DC7"/>
    <w:rsid w:val="00533379"/>
    <w:rsid w:val="005463F5"/>
    <w:rsid w:val="00556B93"/>
    <w:rsid w:val="0056198C"/>
    <w:rsid w:val="005917A6"/>
    <w:rsid w:val="00623DD1"/>
    <w:rsid w:val="00642FB7"/>
    <w:rsid w:val="006A18B1"/>
    <w:rsid w:val="006B532E"/>
    <w:rsid w:val="006C02AB"/>
    <w:rsid w:val="006E6B3A"/>
    <w:rsid w:val="00773084"/>
    <w:rsid w:val="007A5484"/>
    <w:rsid w:val="007C77BF"/>
    <w:rsid w:val="007D388F"/>
    <w:rsid w:val="007D76A6"/>
    <w:rsid w:val="008151AE"/>
    <w:rsid w:val="008219DF"/>
    <w:rsid w:val="00857F07"/>
    <w:rsid w:val="00861360"/>
    <w:rsid w:val="00873813"/>
    <w:rsid w:val="008916CD"/>
    <w:rsid w:val="00920784"/>
    <w:rsid w:val="009335BF"/>
    <w:rsid w:val="00935AE6"/>
    <w:rsid w:val="009464ED"/>
    <w:rsid w:val="00981184"/>
    <w:rsid w:val="00A27785"/>
    <w:rsid w:val="00A56875"/>
    <w:rsid w:val="00AF6EC6"/>
    <w:rsid w:val="00B14CD4"/>
    <w:rsid w:val="00B174BA"/>
    <w:rsid w:val="00B7467D"/>
    <w:rsid w:val="00BE1C00"/>
    <w:rsid w:val="00C24904"/>
    <w:rsid w:val="00C26D2A"/>
    <w:rsid w:val="00CD0798"/>
    <w:rsid w:val="00E1163E"/>
    <w:rsid w:val="00E11C45"/>
    <w:rsid w:val="00EC10D2"/>
    <w:rsid w:val="00EC665D"/>
    <w:rsid w:val="00ED0955"/>
    <w:rsid w:val="00F47C95"/>
    <w:rsid w:val="00FA5957"/>
    <w:rsid w:val="00FC604F"/>
    <w:rsid w:val="00FD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D0B367"/>
  <w15:docId w15:val="{0F0C1C67-0AF0-4C67-9A88-86F14A101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490" w:hanging="360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8916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16CD"/>
  </w:style>
  <w:style w:type="paragraph" w:styleId="Rodap">
    <w:name w:val="footer"/>
    <w:basedOn w:val="Normal"/>
    <w:link w:val="RodapChar"/>
    <w:uiPriority w:val="99"/>
    <w:unhideWhenUsed/>
    <w:rsid w:val="008916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916CD"/>
  </w:style>
  <w:style w:type="table" w:styleId="Tabelacomgrade">
    <w:name w:val="Table Grid"/>
    <w:basedOn w:val="Tabelanormal"/>
    <w:uiPriority w:val="39"/>
    <w:rsid w:val="00A56875"/>
    <w:pPr>
      <w:widowControl/>
    </w:pPr>
    <w:rPr>
      <w:rFonts w:asciiTheme="minorHAnsi" w:eastAsiaTheme="minorHAnsi" w:hAnsiTheme="minorHAnsi" w:cstheme="minorBidi"/>
      <w:kern w:val="2"/>
      <w:lang w:val="pt-BR"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legislacao.planalto.gov.br/legisla/legislacao.nsf/Viw_Identificacao/lei%2010.520-2002?OpenDocu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2355</Words>
  <Characters>12718</Characters>
  <Application>Microsoft Office Word</Application>
  <DocSecurity>0</DocSecurity>
  <Lines>105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presiddencia.001@outlook.com</cp:lastModifiedBy>
  <cp:revision>2</cp:revision>
  <dcterms:created xsi:type="dcterms:W3CDTF">2024-04-09T14:50:00Z</dcterms:created>
  <dcterms:modified xsi:type="dcterms:W3CDTF">2024-04-09T14:50:00Z</dcterms:modified>
</cp:coreProperties>
</file>