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5EBEB172" w14:textId="08BBDDE1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0.9pt" o:ole="">
            <v:imagedata r:id="rId7" o:title=""/>
          </v:shape>
          <o:OLEObject Type="Embed" ProgID="PBrush" ShapeID="_x0000_i1025" DrawAspect="Content" ObjectID="_1798015785" r:id="rId8"/>
        </w:object>
      </w:r>
    </w:p>
    <w:p w14:paraId="06CCD591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3C915D4D" w:rsidR="004A7D22" w:rsidRPr="000A5F78" w:rsidRDefault="003B5654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>
        <w:rPr>
          <w:rFonts w:ascii="Arial" w:eastAsia="Arial" w:hAnsi="Arial" w:cs="Arial"/>
          <w:b/>
          <w:sz w:val="24"/>
          <w:szCs w:val="24"/>
          <w:lang w:val="pt-BR"/>
        </w:rPr>
        <w:t xml:space="preserve">SEÇÃO DE </w:t>
      </w:r>
      <w:r w:rsidR="00953ACD"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12E3E2DC" w:rsidR="004A7D22" w:rsidRPr="005A3BB0" w:rsidRDefault="00953ACD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</w:t>
      </w:r>
      <w:r w:rsidRPr="005A3BB0">
        <w:rPr>
          <w:rFonts w:ascii="Arial" w:eastAsia="Arial" w:hAnsi="Arial" w:cs="Arial"/>
          <w:b/>
          <w:sz w:val="24"/>
          <w:szCs w:val="24"/>
          <w:lang w:val="pt-BR"/>
        </w:rPr>
        <w:t xml:space="preserve">Nº </w:t>
      </w:r>
      <w:r w:rsidR="00D714EB">
        <w:rPr>
          <w:rFonts w:ascii="Arial" w:eastAsia="Arial" w:hAnsi="Arial" w:cs="Arial"/>
          <w:b/>
          <w:sz w:val="24"/>
          <w:szCs w:val="24"/>
          <w:lang w:val="pt-BR"/>
        </w:rPr>
        <w:t>001/2025</w:t>
      </w:r>
    </w:p>
    <w:p w14:paraId="73FB8F00" w14:textId="36AE8710" w:rsidR="004A7D22" w:rsidRPr="000A5F78" w:rsidRDefault="00953ACD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A3BB0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5A3BB0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BC1869" w:rsidRPr="005A3B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A3BB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5A3BB0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5A3BB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D714EB">
        <w:rPr>
          <w:rFonts w:ascii="Arial" w:eastAsia="Arial" w:hAnsi="Arial" w:cs="Arial"/>
          <w:b/>
          <w:sz w:val="24"/>
          <w:szCs w:val="24"/>
          <w:lang w:val="pt-BR"/>
        </w:rPr>
        <w:t>001/2025</w:t>
      </w:r>
    </w:p>
    <w:p w14:paraId="14A9F108" w14:textId="77777777" w:rsidR="004A7D22" w:rsidRPr="000A5F78" w:rsidRDefault="00953ACD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953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Aquisição dos itens relacionados de acordo com tabela abaixo</w:t>
      </w:r>
      <w:r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instrumento:</w:t>
      </w:r>
    </w:p>
    <w:p w14:paraId="64435984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"/>
        <w:rPr>
          <w:rFonts w:ascii="Arial" w:eastAsia="Arial" w:hAnsi="Arial" w:cs="Arial"/>
          <w:color w:val="000000"/>
          <w:sz w:val="8"/>
          <w:szCs w:val="8"/>
          <w:lang w:val="pt-BR"/>
        </w:rPr>
      </w:pPr>
    </w:p>
    <w:tbl>
      <w:tblPr>
        <w:tblStyle w:val="Tabelacomgrade"/>
        <w:tblW w:w="8075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094560" w14:paraId="13F356A1" w14:textId="77777777" w:rsidTr="00094560">
        <w:tc>
          <w:tcPr>
            <w:tcW w:w="988" w:type="dxa"/>
          </w:tcPr>
          <w:p w14:paraId="5FC70C14" w14:textId="66770F98" w:rsidR="00094560" w:rsidRPr="00BC1869" w:rsidRDefault="00094560" w:rsidP="00094560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rPr>
                <w:b/>
                <w:bCs/>
              </w:rPr>
              <w:t>ITEM</w:t>
            </w:r>
          </w:p>
        </w:tc>
        <w:tc>
          <w:tcPr>
            <w:tcW w:w="1417" w:type="dxa"/>
          </w:tcPr>
          <w:p w14:paraId="7227571F" w14:textId="009E37E1" w:rsidR="00094560" w:rsidRPr="00BC1869" w:rsidRDefault="00094560" w:rsidP="00094560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rPr>
                <w:b/>
                <w:bCs/>
              </w:rPr>
              <w:t>UNIDADE</w:t>
            </w:r>
          </w:p>
        </w:tc>
        <w:tc>
          <w:tcPr>
            <w:tcW w:w="3977" w:type="dxa"/>
          </w:tcPr>
          <w:p w14:paraId="6A4623C4" w14:textId="50D2574D" w:rsidR="00094560" w:rsidRPr="00BC1869" w:rsidRDefault="00094560" w:rsidP="00094560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rPr>
                <w:b/>
                <w:bCs/>
              </w:rPr>
              <w:t>DESCRIÇÃO</w:t>
            </w:r>
          </w:p>
        </w:tc>
        <w:tc>
          <w:tcPr>
            <w:tcW w:w="1693" w:type="dxa"/>
          </w:tcPr>
          <w:p w14:paraId="1FD6F870" w14:textId="306C1764" w:rsidR="00094560" w:rsidRPr="00BC1869" w:rsidRDefault="00094560" w:rsidP="00094560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rPr>
                <w:b/>
                <w:bCs/>
              </w:rPr>
              <w:t>QUANTIDADE</w:t>
            </w:r>
          </w:p>
        </w:tc>
      </w:tr>
      <w:tr w:rsidR="00BE1C00" w14:paraId="1ED82B8C" w14:textId="77777777" w:rsidTr="00094560">
        <w:tc>
          <w:tcPr>
            <w:tcW w:w="988" w:type="dxa"/>
          </w:tcPr>
          <w:p w14:paraId="12D27845" w14:textId="3DCA2448" w:rsidR="00BE1C00" w:rsidRPr="00BC1869" w:rsidRDefault="00BE1C00" w:rsidP="00BE1C00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t>01</w:t>
            </w:r>
          </w:p>
        </w:tc>
        <w:tc>
          <w:tcPr>
            <w:tcW w:w="1417" w:type="dxa"/>
          </w:tcPr>
          <w:p w14:paraId="2F5C9A87" w14:textId="0EDEA68A" w:rsidR="00BE1C00" w:rsidRPr="00BC1869" w:rsidRDefault="00BE1C00" w:rsidP="00BE1C00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</w:rPr>
            </w:pPr>
            <w:r w:rsidRPr="00BC1869">
              <w:t>UNID.</w:t>
            </w:r>
          </w:p>
        </w:tc>
        <w:tc>
          <w:tcPr>
            <w:tcW w:w="3977" w:type="dxa"/>
          </w:tcPr>
          <w:p w14:paraId="0EA0EE02" w14:textId="13E0BB6B" w:rsidR="00BE1C00" w:rsidRPr="00C15141" w:rsidRDefault="00523891" w:rsidP="00C96C68">
            <w:pPr>
              <w:tabs>
                <w:tab w:val="left" w:pos="709"/>
              </w:tabs>
              <w:spacing w:before="4"/>
              <w:jc w:val="both"/>
              <w:rPr>
                <w:rFonts w:ascii="Cambria" w:eastAsia="Arial" w:hAnsi="Cambria" w:cs="Arial"/>
                <w:color w:val="000000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Troca de Cilindro de fechadura</w:t>
            </w:r>
          </w:p>
        </w:tc>
        <w:tc>
          <w:tcPr>
            <w:tcW w:w="1693" w:type="dxa"/>
          </w:tcPr>
          <w:p w14:paraId="4ED788B6" w14:textId="0ADB9D5E" w:rsidR="00BE1C00" w:rsidRPr="00A7092C" w:rsidRDefault="00523891" w:rsidP="00BE1C00">
            <w:pPr>
              <w:tabs>
                <w:tab w:val="left" w:pos="709"/>
              </w:tabs>
              <w:spacing w:before="4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05</w:t>
            </w:r>
          </w:p>
        </w:tc>
      </w:tr>
      <w:tr w:rsidR="000F08D1" w14:paraId="6C3B69CC" w14:textId="77777777" w:rsidTr="00094560">
        <w:tc>
          <w:tcPr>
            <w:tcW w:w="988" w:type="dxa"/>
          </w:tcPr>
          <w:p w14:paraId="205C37A4" w14:textId="3A0D15CC" w:rsidR="000F08D1" w:rsidRPr="00BC1869" w:rsidRDefault="00523891" w:rsidP="00BE1C00">
            <w:pPr>
              <w:tabs>
                <w:tab w:val="left" w:pos="709"/>
              </w:tabs>
              <w:spacing w:before="4"/>
            </w:pPr>
            <w:r>
              <w:t>02</w:t>
            </w:r>
          </w:p>
        </w:tc>
        <w:tc>
          <w:tcPr>
            <w:tcW w:w="1417" w:type="dxa"/>
          </w:tcPr>
          <w:p w14:paraId="0CCF5B29" w14:textId="7ED999DE" w:rsidR="000F08D1" w:rsidRPr="00BC1869" w:rsidRDefault="00523891" w:rsidP="00BE1C00">
            <w:pPr>
              <w:tabs>
                <w:tab w:val="left" w:pos="709"/>
              </w:tabs>
              <w:spacing w:before="4"/>
            </w:pPr>
            <w:r>
              <w:t>UNID.</w:t>
            </w:r>
          </w:p>
        </w:tc>
        <w:tc>
          <w:tcPr>
            <w:tcW w:w="3977" w:type="dxa"/>
          </w:tcPr>
          <w:p w14:paraId="09E8D970" w14:textId="721251A5" w:rsidR="000F08D1" w:rsidRPr="00C96C68" w:rsidRDefault="00523891" w:rsidP="00C96C68">
            <w:pPr>
              <w:tabs>
                <w:tab w:val="left" w:pos="709"/>
              </w:tabs>
              <w:spacing w:before="4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Troca de fechadura comum</w:t>
            </w:r>
          </w:p>
        </w:tc>
        <w:tc>
          <w:tcPr>
            <w:tcW w:w="1693" w:type="dxa"/>
          </w:tcPr>
          <w:p w14:paraId="44EA513D" w14:textId="13B48918" w:rsidR="000F08D1" w:rsidRDefault="00523891" w:rsidP="00BE1C00">
            <w:pPr>
              <w:tabs>
                <w:tab w:val="left" w:pos="709"/>
              </w:tabs>
              <w:spacing w:before="4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01</w:t>
            </w:r>
          </w:p>
        </w:tc>
      </w:tr>
      <w:tr w:rsidR="000F08D1" w14:paraId="6E556FC0" w14:textId="77777777" w:rsidTr="00094560">
        <w:tc>
          <w:tcPr>
            <w:tcW w:w="988" w:type="dxa"/>
          </w:tcPr>
          <w:p w14:paraId="6D2675E8" w14:textId="565D039E" w:rsidR="000F08D1" w:rsidRPr="00BC1869" w:rsidRDefault="00523891" w:rsidP="00BE1C00">
            <w:pPr>
              <w:tabs>
                <w:tab w:val="left" w:pos="709"/>
              </w:tabs>
              <w:spacing w:before="4"/>
            </w:pPr>
            <w:r>
              <w:t>03</w:t>
            </w:r>
          </w:p>
        </w:tc>
        <w:tc>
          <w:tcPr>
            <w:tcW w:w="1417" w:type="dxa"/>
          </w:tcPr>
          <w:p w14:paraId="77862782" w14:textId="1131B440" w:rsidR="000F08D1" w:rsidRPr="00BC1869" w:rsidRDefault="00523891" w:rsidP="00BE1C00">
            <w:pPr>
              <w:tabs>
                <w:tab w:val="left" w:pos="709"/>
              </w:tabs>
              <w:spacing w:before="4"/>
            </w:pPr>
            <w:r>
              <w:t>UNID.</w:t>
            </w:r>
          </w:p>
        </w:tc>
        <w:tc>
          <w:tcPr>
            <w:tcW w:w="3977" w:type="dxa"/>
          </w:tcPr>
          <w:p w14:paraId="70A6AB85" w14:textId="7CEF887F" w:rsidR="000F08D1" w:rsidRPr="00C96C68" w:rsidRDefault="00523891" w:rsidP="00C96C68">
            <w:pPr>
              <w:tabs>
                <w:tab w:val="left" w:pos="709"/>
              </w:tabs>
              <w:spacing w:before="4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Cópia de chave </w:t>
            </w:r>
            <w:proofErr w:type="spellStart"/>
            <w:r>
              <w:rPr>
                <w:rFonts w:ascii="Calibri" w:eastAsia="Calibri" w:hAnsi="Calibri"/>
              </w:rPr>
              <w:t>yale</w:t>
            </w:r>
            <w:proofErr w:type="spellEnd"/>
          </w:p>
        </w:tc>
        <w:tc>
          <w:tcPr>
            <w:tcW w:w="1693" w:type="dxa"/>
          </w:tcPr>
          <w:p w14:paraId="450F12EA" w14:textId="1D5B3775" w:rsidR="000F08D1" w:rsidRDefault="00523891" w:rsidP="00BE1C00">
            <w:pPr>
              <w:tabs>
                <w:tab w:val="left" w:pos="709"/>
              </w:tabs>
              <w:spacing w:before="4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05</w:t>
            </w:r>
          </w:p>
        </w:tc>
      </w:tr>
      <w:tr w:rsidR="000F08D1" w14:paraId="54094426" w14:textId="77777777" w:rsidTr="00094560">
        <w:tc>
          <w:tcPr>
            <w:tcW w:w="988" w:type="dxa"/>
          </w:tcPr>
          <w:p w14:paraId="143558AB" w14:textId="61201639" w:rsidR="000F08D1" w:rsidRPr="00BC1869" w:rsidRDefault="00523891" w:rsidP="00BE1C00">
            <w:pPr>
              <w:tabs>
                <w:tab w:val="left" w:pos="709"/>
              </w:tabs>
              <w:spacing w:before="4"/>
            </w:pPr>
            <w:r>
              <w:t>04</w:t>
            </w:r>
          </w:p>
        </w:tc>
        <w:tc>
          <w:tcPr>
            <w:tcW w:w="1417" w:type="dxa"/>
          </w:tcPr>
          <w:p w14:paraId="5D9765AC" w14:textId="41937187" w:rsidR="000F08D1" w:rsidRPr="00BC1869" w:rsidRDefault="00523891" w:rsidP="00BE1C00">
            <w:pPr>
              <w:tabs>
                <w:tab w:val="left" w:pos="709"/>
              </w:tabs>
              <w:spacing w:before="4"/>
            </w:pPr>
            <w:r>
              <w:t>UNID.</w:t>
            </w:r>
          </w:p>
        </w:tc>
        <w:tc>
          <w:tcPr>
            <w:tcW w:w="3977" w:type="dxa"/>
          </w:tcPr>
          <w:p w14:paraId="14245140" w14:textId="689764EA" w:rsidR="000F08D1" w:rsidRPr="00C96C68" w:rsidRDefault="00523891" w:rsidP="00C96C68">
            <w:pPr>
              <w:tabs>
                <w:tab w:val="left" w:pos="709"/>
              </w:tabs>
              <w:spacing w:before="4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Cópia de chave tetra</w:t>
            </w:r>
          </w:p>
        </w:tc>
        <w:tc>
          <w:tcPr>
            <w:tcW w:w="1693" w:type="dxa"/>
          </w:tcPr>
          <w:p w14:paraId="504DCEF4" w14:textId="1CA8E6F7" w:rsidR="000F08D1" w:rsidRDefault="00523891" w:rsidP="00BE1C00">
            <w:pPr>
              <w:tabs>
                <w:tab w:val="left" w:pos="709"/>
              </w:tabs>
              <w:spacing w:before="4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10</w:t>
            </w:r>
          </w:p>
        </w:tc>
      </w:tr>
    </w:tbl>
    <w:p w14:paraId="75B471BA" w14:textId="77777777" w:rsidR="004A7D22" w:rsidRPr="005A3BB0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/>
        <w:rPr>
          <w:rFonts w:ascii="Arial" w:eastAsia="Arial" w:hAnsi="Arial" w:cs="Arial"/>
          <w:color w:val="000000"/>
          <w:sz w:val="31"/>
          <w:szCs w:val="31"/>
          <w:lang w:val="pt-BR"/>
        </w:rPr>
      </w:pPr>
    </w:p>
    <w:p w14:paraId="267BD9E5" w14:textId="77777777" w:rsidR="004A7D22" w:rsidRPr="005A3BB0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  <w:ind w:left="0" w:firstLine="0"/>
        <w:rPr>
          <w:lang w:val="pt-BR"/>
        </w:rPr>
      </w:pPr>
      <w:r w:rsidRPr="005A3BB0">
        <w:rPr>
          <w:rFonts w:ascii="Arial" w:eastAsia="Arial" w:hAnsi="Arial" w:cs="Arial"/>
          <w:lang w:val="pt-BR"/>
        </w:rPr>
        <w:t>JUSTIFICATIVA E OBJETIVO DA CONTRATAÇÃO</w:t>
      </w:r>
    </w:p>
    <w:p w14:paraId="7862DA43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Justificativa e objetivo da aquisição tem por finalidade atender a demanda do setor requisitante, conforme descrição detalhada, visando manter o pleno funcionamento das atividades administrativas, dando suporte às tarefas e ações operacionais, nas atividades desenvolvidas pelo setor.</w:t>
      </w:r>
    </w:p>
    <w:p w14:paraId="035C45C3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05ED026A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CLASSIFICAÇÃO DOS BENS COMUNS</w:t>
      </w:r>
    </w:p>
    <w:p w14:paraId="7082554D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Consideram-se bens e serviços comuns, para os fins e efeitos do art. 1º da Lei nº 1</w:t>
      </w:r>
      <w:hyperlink r:id="rId9">
        <w:r w:rsidRPr="000A5F78">
          <w:rPr>
            <w:rFonts w:ascii="Arial" w:eastAsia="Arial" w:hAnsi="Arial" w:cs="Arial"/>
            <w:color w:val="000000"/>
            <w:sz w:val="24"/>
            <w:szCs w:val="24"/>
            <w:lang w:val="pt-BR"/>
          </w:rPr>
          <w:t>0.520, de 17 de julho de 2002</w:t>
        </w:r>
      </w:hyperlink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aqueles cujos padrões de desempenho e qualidade possam ser objetivamente definidos no Termo de Referência, por meio de especificações usuais no mercado.</w:t>
      </w:r>
    </w:p>
    <w:p w14:paraId="530F5F09" w14:textId="77777777" w:rsidR="004A7D22" w:rsidRPr="000A5F78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3C74823F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prazo de entrega dos bens é de </w:t>
      </w:r>
      <w:r w:rsidR="000A507D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03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A507D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três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dias, contados do(a)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recebimento da nota de empenho, em remessa única a ser definida pelo contratante, no seguinte endereço: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Rua Doutor Monteiro,185, centro  Arroio Grande RS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dentro do horário de expediente, de segunda-feira a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sexta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-feira, das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7hs às 13hs.</w:t>
      </w:r>
    </w:p>
    <w:p w14:paraId="7E16C9C9" w14:textId="6A0D1B56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bens poderão ser rejeitados, no todo ou em parte, quando em desacordo com as especificações constantes neste Termo de Referência e na proposta, devendo ser substituídos no prazo de 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 (cinco)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dias, a contar da notificação da contratada, às suas custas, sem prejuízo da aplicação das penalidades.</w:t>
      </w:r>
    </w:p>
    <w:p w14:paraId="4B482485" w14:textId="140D9D8C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bens serão recebidos definitivamente no prazo de 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03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três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 corridos ou de acordo com a necessidade do contratante, contados do recebimento provisório, após a verificação da qualidade e quantidade do material e consequente aceitação mediante termo circunstanciado.</w:t>
      </w:r>
    </w:p>
    <w:p w14:paraId="29ADEFF0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10DA9A10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recebimento provisório ou definitivo do objeto não exclui a responsabilidade da contratada pelos prejuízos resultantes da incorreta execução do serviço.</w:t>
      </w:r>
    </w:p>
    <w:p w14:paraId="2D55236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363C7DEA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São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obrigações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Contratante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5A32557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verificar minuciosamente, no prazo fixado, a conformidade dos bens recebidos provisoriamente com as especificações constantes do Termo de Referência e da proposta, para fins de aceitação e recebimento definitivo;</w:t>
      </w:r>
    </w:p>
    <w:p w14:paraId="504DE863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comissão/servidor especialmente designado;</w:t>
      </w:r>
    </w:p>
    <w:p w14:paraId="391D71B7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 o pagamento à Contratada no valor correspondente ao fornecimento do objeto, no prazo e forma estabelecidos no Termo de Referência e seus anexos;</w:t>
      </w:r>
    </w:p>
    <w:p w14:paraId="39A058DD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Administração não responderá por quaisquer compromissos assumidos pela Contratada com terceiros, ainda que vinculados à execução do presente Termo de Referência, bem como por qualquer dano causado a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terceiros em decorrência de ato da Contratada, de seus empregados, prepostos ou subordinados.</w:t>
      </w:r>
    </w:p>
    <w:p w14:paraId="577DF8E4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16C21E2B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OBRIGAÇÕES DA CONTRATADA</w:t>
      </w:r>
    </w:p>
    <w:p w14:paraId="300C1B35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deve cumprir todas as obrigações constantes no Termo de Referência, seus anexos e sua proposta, assumindo como exclusivamente seus os riscos e as despesas decorrentes da boa e perfeita execução do objeto e, ainda:</w:t>
      </w:r>
    </w:p>
    <w:p w14:paraId="5B7C93F3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efetuar a entrega do objeto em perfeitas condições, conforme especificações, prazo e local constantes no Termo de Referência e seus anexos, acompanhado da respectiva nota fiscal, na qual constarão as indicações referentes a: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marca, fabricante, modelo, procedência e prazo de garantia ou validade;</w:t>
      </w:r>
    </w:p>
    <w:p w14:paraId="5544A6FF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responsabilizar-se pelos vícios e danos decorrentes do objeto, de acordo com os artigos 12, 13 e 17 a 27, do Código de Defesa do Consumidor (Lei nº 8.078, de 1990);</w:t>
      </w:r>
    </w:p>
    <w:p w14:paraId="45C756AF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substituir, reparar ou corrigir, às suas expensas, no prazo fixado neste Termo de Referência, o objeto com avarias ou defeitos;</w:t>
      </w:r>
    </w:p>
    <w:p w14:paraId="0B554D72" w14:textId="263DEE2F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comunicar à Contratante, no prazo máximo de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48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quarenta e oito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horas que antecede a data da entrega, os motivos que impossibilitem o cumprimento do prazo previsto, com a devida comprovação;</w:t>
      </w:r>
    </w:p>
    <w:p w14:paraId="6288C808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manter, durante toda a execução do serviço, em compatibilidade com as obrigações assumidas, todas as condições de habilitação e qualificação exigidas na licitação;</w:t>
      </w:r>
    </w:p>
    <w:p w14:paraId="346ECEE5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 preposto para representá-la durante a execução do serviço.</w:t>
      </w:r>
    </w:p>
    <w:p w14:paraId="1A0407ED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62145369" w14:textId="77777777" w:rsidR="004A7D22" w:rsidRPr="000A5F78" w:rsidRDefault="00953A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ab/>
        <w:t>Não será admitida a subcontratação do objeto licitatório.</w:t>
      </w:r>
    </w:p>
    <w:p w14:paraId="40D0C42D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13C7175D" w:rsidR="004A7D22" w:rsidRPr="000A5F78" w:rsidRDefault="00064D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designado o Diretor Geral para acompanhar e fiscalizar a entrega dos bens, anotando em registro próprio todas as ocorrências relacionadas com a execução e determinando o que for necessário à regularização de falhas ou defeitos observados.</w:t>
      </w:r>
    </w:p>
    <w:p w14:paraId="4098BFDB" w14:textId="77777777" w:rsidR="004A7D22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color w:val="000000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fiscalização de que trata este item não exclui nem reduz a responsabilidade da Contratada, inclusive perante terceiros, por qualquer irregularidade, ainda que resultante de imperfeições técnicas ou vícios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 xml:space="preserve">redibitórios, </w:t>
      </w:r>
      <w:r w:rsidRPr="000A5F78">
        <w:rPr>
          <w:rFonts w:ascii="Arial" w:eastAsia="Arial" w:hAnsi="Arial" w:cs="Arial"/>
          <w:color w:val="000000"/>
          <w:lang w:val="pt-BR"/>
        </w:rPr>
        <w:t xml:space="preserve">e, na ocorrência desta, não implica em corresponsabilidade da Administração ou de seus agentes e prepostos, de conformidade com o art. </w:t>
      </w:r>
      <w:r>
        <w:rPr>
          <w:rFonts w:ascii="Arial" w:eastAsia="Arial" w:hAnsi="Arial" w:cs="Arial"/>
          <w:color w:val="000000"/>
        </w:rPr>
        <w:t>XXXXX.</w:t>
      </w:r>
    </w:p>
    <w:p w14:paraId="3F051165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representante da Administração anotará em registro próprio todas as ocorrências relacionadas com a execução do serviço,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40792B8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0388B497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>
        <w:rPr>
          <w:rFonts w:ascii="Arial" w:eastAsia="Arial" w:hAnsi="Arial" w:cs="Arial"/>
        </w:rPr>
        <w:t>DO PAGAMENTO</w:t>
      </w:r>
    </w:p>
    <w:p w14:paraId="2E84BBB4" w14:textId="343E21A9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dias, contados a partir do recebimento da Nota Fiscal ou Fatura, através de ordem bancária, para crédito em banco, agência e conta-corrente indicados pelo contratado.</w:t>
      </w:r>
    </w:p>
    <w:p w14:paraId="3521C0BB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 atestar a execução do objeto do serviço.</w:t>
      </w:r>
    </w:p>
    <w:p w14:paraId="6AEBA5B1" w14:textId="5D822398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</w:t>
      </w:r>
      <w:r w:rsidR="003B5654">
        <w:rPr>
          <w:rFonts w:ascii="Arial" w:eastAsia="Arial" w:hAnsi="Arial" w:cs="Arial"/>
          <w:color w:val="000000"/>
          <w:sz w:val="24"/>
          <w:szCs w:val="24"/>
          <w:lang w:val="pt-BR"/>
        </w:rPr>
        <w:t>da por meio de consulta on-line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6D405662" w14:textId="44E2FEB8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Constatando-se,  a situação de irregularidade do fornecedor contratado, deverão ser tomadas as providências previstas no art. 31 da Instrução Normativa nº 3, de 26 de abril de 2018.</w:t>
      </w:r>
    </w:p>
    <w:p w14:paraId="583EDAC5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027CD613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Antes de cada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6D042AFE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5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 xml:space="preserve">Previamente à emissão de nota de empenho e a cada pagamento, a Administração deverá realizar consulta para identificar possível suspensão temporária de </w:t>
      </w:r>
      <w:r w:rsidRPr="000A5F78">
        <w:rPr>
          <w:rFonts w:ascii="Arial" w:eastAsia="Arial" w:hAnsi="Arial" w:cs="Arial"/>
          <w:color w:val="000000"/>
          <w:lang w:val="pt-BR"/>
        </w:rPr>
        <w:t>participação em licitação, no âmbito do órgão ou entidade, proibição de contratar com o Poder Público, bem como ocorrências impeditivas indiretas, observado o disposto no art. 29, da Instrução Normativa nº 3, de 26 de abril de 2018.</w:t>
      </w:r>
    </w:p>
    <w:p w14:paraId="676FD9D9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49053D09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Persistindo a irregularidade, a contratante deverá adotar as medidas necessárias à rescisão contratual nos autos do processo administrativo correspondente, assegurada à contratada a ampla defesa.</w:t>
      </w:r>
    </w:p>
    <w:p w14:paraId="69036EFD" w14:textId="70FE1473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execução do serviço,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43C5CF41" w14:textId="72BB12F7" w:rsidR="004A7D22" w:rsidRPr="000A5F78" w:rsidRDefault="00953A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7" w:line="288" w:lineRule="auto"/>
        <w:ind w:right="211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10.11.1.   Será interrompido o serviço em execução com a contratada inadimplente, salvo por motivo de economicidade, segurança nacional ou outro de interesse público de alta relevância, devidamente justificado, em qualquer caso, pela máxima autoridade da contratante.</w:t>
      </w:r>
    </w:p>
    <w:p w14:paraId="16ACC74F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7D66DB3E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6DF5C68B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60"/>
        </w:tabs>
        <w:spacing w:before="113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Nos casos de eventuais atrasos de pagamento, desde que a Contratada não tenha concorrido, de alguma forma, para tanto, fica convencionado que a taxa de compensação financeira devida pela Contratante, entre a data do vencimento e o efetivo adimplemento da parcela, é calculada mediante a aplicação da seguinte fórmula:</w:t>
      </w:r>
    </w:p>
    <w:p w14:paraId="08CEA76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60"/>
        </w:tabs>
        <w:spacing w:before="113" w:line="288" w:lineRule="auto"/>
        <w:ind w:right="218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25A04155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0FF71D7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163231EE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administrativa nos termos da Lei nº 10.520, de 2002, a Contratada que:</w:t>
      </w:r>
    </w:p>
    <w:p w14:paraId="3387F1F9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 total ou parcialmente qualquer das obrigações assumidas em decorrência da contratação;</w:t>
      </w:r>
    </w:p>
    <w:p w14:paraId="015AB354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 ou fraudar na execução do serviço;</w:t>
      </w:r>
    </w:p>
    <w:p w14:paraId="4881A757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cometer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fraude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fiscal;</w:t>
      </w:r>
    </w:p>
    <w:p w14:paraId="0D102D61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</w:rPr>
      </w:pPr>
    </w:p>
    <w:p w14:paraId="40A98A7A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serviço, a Administração pode aplicar à CONTRATADA as seguintes sanções:</w:t>
      </w:r>
    </w:p>
    <w:p w14:paraId="77CA28F4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moratória de 1% (um por cento) por dia de atraso injustificado sobre o valor da parcela inadimplida, até o limite de 30 (trinta) dias;</w:t>
      </w:r>
    </w:p>
    <w:p w14:paraId="7E25F8E6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compensatória de 10% (dez por cento) sobre o valor total do serviço, no caso de inexecução total do objeto;</w:t>
      </w:r>
    </w:p>
    <w:p w14:paraId="11CA7F33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impedimento de licitar e contratar com órgãos e entidades da União com o consequente descredenciamento no SICAF pelo prazo de até cinco anos;</w:t>
      </w:r>
    </w:p>
    <w:p w14:paraId="0803315D" w14:textId="77777777" w:rsidR="004A7D22" w:rsidRPr="000A5F78" w:rsidRDefault="00953A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11.2.6.1.1. A sanção de impedimento de licitar e contratar prevista neste subitem também é aplicável em quaisquer das hipóteses previstas como infração administrativa no subitem 16.1 deste Termo de Referência.</w:t>
      </w:r>
    </w:p>
    <w:p w14:paraId="7D896DEF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C4B7006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18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As sanções previstas nos subitens 16.2.1, 16.2.5, 16.2.6 e 16.2.7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poderão ser aplicadas à CONTRATADA acompanhada de as de multa, descontando-a dos pagamentos a serem efetuados.</w:t>
      </w:r>
    </w:p>
    <w:p w14:paraId="151555F2" w14:textId="1083A95D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953A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14133, e subsidiariamente a Lei nº 9.784, de 1999.</w:t>
      </w:r>
    </w:p>
    <w:p w14:paraId="75E58D13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multas devidas e/ou prejuízos causados à Contratante serão deduzidos dos valores a serem pagos, ou recolhidos em favor da União, ou deduzidos da garantia, ou ainda, quando for o caso, serão inscritos na Dívida Ativa da União e cobrados judicialmente.</w:t>
      </w:r>
    </w:p>
    <w:p w14:paraId="0261FF27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 União ou Entidade poderá cobrar o valor remanescente judicialmente, conforme artigo 419 do Código Civil.</w:t>
      </w:r>
    </w:p>
    <w:p w14:paraId="0486285B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4A9F559A" w14:textId="5081974A" w:rsidR="004A7D22" w:rsidRPr="003B5654" w:rsidRDefault="00953ACD" w:rsidP="000617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</w:t>
      </w:r>
      <w:r w:rsidR="003B5654"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>cho fundamentado, para ciência</w:t>
      </w:r>
      <w:r w:rsidR="003B565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3B5654"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>d</w:t>
      </w:r>
      <w:r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ecisão sobre a eventual instauração de investigação preliminar ou Processo </w:t>
      </w:r>
      <w:r w:rsidR="00EC665D"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>Administrative</w:t>
      </w:r>
      <w:r w:rsidRPr="003B5654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Responsabilização – PAR.</w:t>
      </w:r>
    </w:p>
    <w:p w14:paraId="5DA3D81D" w14:textId="77777777" w:rsidR="004A7D22" w:rsidRPr="000A5F78" w:rsidRDefault="00953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21505D25" w14:textId="6486FA4A" w:rsidR="004A7D22" w:rsidRPr="000A5F78" w:rsidRDefault="00953ACD" w:rsidP="008219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processamento do PAR não interfere no seguimento regular dos processos administrativos específicos para apuração da ocorrência de danos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e prejuízos à Administração Pública Federal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231219E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3DF32BDB" w14:textId="63F8D3D8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  <w:lang w:val="pt-BR"/>
        </w:rPr>
      </w:pPr>
    </w:p>
    <w:p w14:paraId="34E63B1D" w14:textId="77777777" w:rsidR="004A7D22" w:rsidRDefault="00953ACD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7F76971B" w14:textId="77777777" w:rsidR="004A7D22" w:rsidRPr="000A5F78" w:rsidRDefault="00953A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</w:p>
    <w:p w14:paraId="038FE345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/>
        <w:rPr>
          <w:rFonts w:ascii="Arial" w:eastAsia="Arial" w:hAnsi="Arial" w:cs="Arial"/>
          <w:color w:val="000000"/>
          <w:sz w:val="28"/>
          <w:szCs w:val="28"/>
          <w:lang w:val="pt-BR"/>
        </w:rPr>
      </w:pPr>
    </w:p>
    <w:p w14:paraId="420E764E" w14:textId="42B2993F" w:rsidR="004A7D22" w:rsidRPr="000A5F78" w:rsidRDefault="00953AC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8" w:lineRule="auto"/>
        <w:ind w:right="215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FDD5691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01A0ED6B" w14:textId="77777777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2F4B4679" w14:textId="77777777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7B7CCAF3" w:rsidR="00EC665D" w:rsidRDefault="0033166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Arroio Grande, 13</w:t>
      </w:r>
      <w:bookmarkStart w:id="1" w:name="_GoBack"/>
      <w:bookmarkEnd w:id="1"/>
      <w:r w:rsidR="00EC665D" w:rsidRPr="009E120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C96C68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DF2A7E">
        <w:rPr>
          <w:rFonts w:ascii="Arial" w:eastAsia="Arial" w:hAnsi="Arial" w:cs="Arial"/>
          <w:color w:val="000000"/>
          <w:sz w:val="26"/>
          <w:szCs w:val="26"/>
          <w:lang w:val="pt-BR"/>
        </w:rPr>
        <w:t>janeiro de 2025</w:t>
      </w:r>
      <w:r w:rsidR="00EC665D" w:rsidRPr="009E1200">
        <w:rPr>
          <w:rFonts w:ascii="Arial" w:eastAsia="Arial" w:hAnsi="Arial" w:cs="Arial"/>
          <w:color w:val="000000"/>
          <w:sz w:val="26"/>
          <w:szCs w:val="26"/>
          <w:lang w:val="pt-BR"/>
        </w:rPr>
        <w:t>.</w:t>
      </w:r>
    </w:p>
    <w:p w14:paraId="6049A524" w14:textId="6EB6FB2B" w:rsidR="003B5654" w:rsidRDefault="003B565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CCEA29E" w14:textId="63350659" w:rsidR="003B5654" w:rsidRDefault="003B565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04416AEA" w14:textId="5BF7B4EE" w:rsidR="003B5654" w:rsidRDefault="003B565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48E4E959" w14:textId="59C54FF1" w:rsidR="003B5654" w:rsidRDefault="003B565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right"/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3D4E0F8" w14:textId="3DAA13F6" w:rsidR="003B5654" w:rsidRDefault="003B565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</w:t>
      </w:r>
    </w:p>
    <w:p w14:paraId="40CC9BA9" w14:textId="544E0094" w:rsidR="003B5654" w:rsidRPr="000A5F78" w:rsidRDefault="00331664" w:rsidP="003B56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bookmarkEnd w:id="0"/>
    <w:p w14:paraId="34F2CCF6" w14:textId="43EC3D0D" w:rsidR="00A56875" w:rsidRPr="000A5F78" w:rsidRDefault="00A568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sectPr w:rsidR="00A56875" w:rsidRPr="000A5F78">
      <w:headerReference w:type="default" r:id="rId10"/>
      <w:footerReference w:type="default" r:id="rId11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3B7E" w14:textId="77777777" w:rsidR="001804AF" w:rsidRDefault="001804AF">
      <w:r>
        <w:separator/>
      </w:r>
    </w:p>
  </w:endnote>
  <w:endnote w:type="continuationSeparator" w:id="0">
    <w:p w14:paraId="7A6FFB17" w14:textId="77777777" w:rsidR="001804AF" w:rsidRDefault="0018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1804A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BBB7" w14:textId="77777777" w:rsidR="001804AF" w:rsidRDefault="001804AF">
      <w:r>
        <w:separator/>
      </w:r>
    </w:p>
  </w:footnote>
  <w:footnote w:type="continuationSeparator" w:id="0">
    <w:p w14:paraId="37B52EE2" w14:textId="77777777" w:rsidR="001804AF" w:rsidRDefault="0018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987C7164"/>
    <w:lvl w:ilvl="0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56BC4"/>
    <w:rsid w:val="00064D32"/>
    <w:rsid w:val="000679CB"/>
    <w:rsid w:val="00094560"/>
    <w:rsid w:val="000A507D"/>
    <w:rsid w:val="000A5F78"/>
    <w:rsid w:val="000D6308"/>
    <w:rsid w:val="000F08D1"/>
    <w:rsid w:val="0011259E"/>
    <w:rsid w:val="001804AF"/>
    <w:rsid w:val="001B7117"/>
    <w:rsid w:val="001C0369"/>
    <w:rsid w:val="001D5558"/>
    <w:rsid w:val="001E1521"/>
    <w:rsid w:val="0023080A"/>
    <w:rsid w:val="002D68B9"/>
    <w:rsid w:val="002D69E0"/>
    <w:rsid w:val="002E112E"/>
    <w:rsid w:val="00331664"/>
    <w:rsid w:val="003458D9"/>
    <w:rsid w:val="003B5654"/>
    <w:rsid w:val="003E3343"/>
    <w:rsid w:val="00405853"/>
    <w:rsid w:val="0041451B"/>
    <w:rsid w:val="004A7D22"/>
    <w:rsid w:val="004E5E38"/>
    <w:rsid w:val="00523891"/>
    <w:rsid w:val="00533379"/>
    <w:rsid w:val="005463F5"/>
    <w:rsid w:val="00556B93"/>
    <w:rsid w:val="0056198C"/>
    <w:rsid w:val="00575FC2"/>
    <w:rsid w:val="005917A6"/>
    <w:rsid w:val="005A3BB0"/>
    <w:rsid w:val="005D6778"/>
    <w:rsid w:val="00623DD1"/>
    <w:rsid w:val="00642FB7"/>
    <w:rsid w:val="006C02AB"/>
    <w:rsid w:val="00773084"/>
    <w:rsid w:val="007A5484"/>
    <w:rsid w:val="007B7B59"/>
    <w:rsid w:val="007C77BF"/>
    <w:rsid w:val="008112B1"/>
    <w:rsid w:val="008151AE"/>
    <w:rsid w:val="008219DF"/>
    <w:rsid w:val="00857F07"/>
    <w:rsid w:val="00861360"/>
    <w:rsid w:val="00873813"/>
    <w:rsid w:val="008916CD"/>
    <w:rsid w:val="00920784"/>
    <w:rsid w:val="009335BF"/>
    <w:rsid w:val="00953ACD"/>
    <w:rsid w:val="00981184"/>
    <w:rsid w:val="009E1200"/>
    <w:rsid w:val="00A27785"/>
    <w:rsid w:val="00A56875"/>
    <w:rsid w:val="00A67E21"/>
    <w:rsid w:val="00A7092C"/>
    <w:rsid w:val="00AF6EC6"/>
    <w:rsid w:val="00B14CD4"/>
    <w:rsid w:val="00B7467D"/>
    <w:rsid w:val="00BC1869"/>
    <w:rsid w:val="00BE1C00"/>
    <w:rsid w:val="00C15141"/>
    <w:rsid w:val="00C24904"/>
    <w:rsid w:val="00C26D2A"/>
    <w:rsid w:val="00C95461"/>
    <w:rsid w:val="00C96C68"/>
    <w:rsid w:val="00CD0798"/>
    <w:rsid w:val="00D0754F"/>
    <w:rsid w:val="00D469D9"/>
    <w:rsid w:val="00D70D36"/>
    <w:rsid w:val="00D714EB"/>
    <w:rsid w:val="00DF2A7E"/>
    <w:rsid w:val="00E021A9"/>
    <w:rsid w:val="00E1163E"/>
    <w:rsid w:val="00E11C45"/>
    <w:rsid w:val="00EC10D2"/>
    <w:rsid w:val="00EC5DE5"/>
    <w:rsid w:val="00EC665D"/>
    <w:rsid w:val="00ED0955"/>
    <w:rsid w:val="00FA5957"/>
    <w:rsid w:val="00FC604F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B56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islacao.planalto.gov.br/legisla/legislacao.nsf/Viw_Identificacao/lei%2010.520-2002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2365</Words>
  <Characters>12774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2024-06-27T12:49:00Z</cp:lastPrinted>
  <dcterms:created xsi:type="dcterms:W3CDTF">2024-03-06T14:47:00Z</dcterms:created>
  <dcterms:modified xsi:type="dcterms:W3CDTF">2025-01-10T15:03:00Z</dcterms:modified>
</cp:coreProperties>
</file>