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81076983"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589C0B98" w:rsidR="002129E1" w:rsidRPr="004D7ACD" w:rsidRDefault="002129E1" w:rsidP="004D7ACD">
      <w:pPr>
        <w:rPr>
          <w:rFonts w:cs="Arial"/>
          <w:b/>
          <w:bCs/>
          <w:color w:val="5B5B5F"/>
          <w:sz w:val="28"/>
          <w:szCs w:val="28"/>
        </w:rPr>
      </w:pPr>
      <w:r w:rsidRPr="0021754E">
        <w:rPr>
          <w:rFonts w:cs="Arial"/>
          <w:bCs/>
          <w:color w:val="5B5B5F"/>
          <w:sz w:val="28"/>
          <w:szCs w:val="28"/>
        </w:rPr>
        <w:t>00</w:t>
      </w:r>
      <w:r w:rsidR="00514AE0">
        <w:rPr>
          <w:rFonts w:cs="Arial"/>
          <w:bCs/>
          <w:color w:val="5B5B5F"/>
          <w:sz w:val="28"/>
          <w:szCs w:val="28"/>
        </w:rPr>
        <w:t>56</w:t>
      </w:r>
      <w:r w:rsidRPr="0021754E">
        <w:rPr>
          <w:rFonts w:cs="Arial"/>
          <w:bCs/>
          <w:color w:val="5B5B5F"/>
          <w:sz w:val="28"/>
          <w:szCs w:val="28"/>
        </w:rPr>
        <w:t>/202</w:t>
      </w:r>
      <w:r w:rsidR="00F54700" w:rsidRPr="0021754E">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335D3EE4" w14:textId="3A8BA910" w:rsidR="007D703D" w:rsidRPr="007D703D" w:rsidRDefault="007D703D" w:rsidP="007D703D">
      <w:pPr>
        <w:jc w:val="both"/>
        <w:rPr>
          <w:rFonts w:eastAsia="Calibri" w:cs="Arial"/>
          <w:b/>
          <w:color w:val="6699FF"/>
          <w:sz w:val="32"/>
          <w:szCs w:val="32"/>
          <w:lang w:eastAsia="en-US"/>
        </w:rPr>
      </w:pPr>
      <w:r w:rsidRPr="007D703D">
        <w:rPr>
          <w:rFonts w:eastAsia="Calibri" w:cs="Arial"/>
          <w:b/>
          <w:color w:val="2F5496" w:themeColor="accent5" w:themeShade="BF"/>
          <w:sz w:val="32"/>
          <w:szCs w:val="32"/>
          <w:lang w:eastAsia="en-US"/>
        </w:rPr>
        <w:t>Limpeza do pavimento do plenário da CÂMARA, aproximadamente 150m², entre o forro e o telhado, com retirada de detritos e restos de animais mortos: ratos, pombos, morcegos e insetos.</w:t>
      </w:r>
    </w:p>
    <w:p w14:paraId="13322BF4" w14:textId="376D0E5B" w:rsidR="00C35A80" w:rsidRDefault="00C35A80" w:rsidP="004D7ACD">
      <w:pPr>
        <w:rPr>
          <w:rFonts w:cs="Arial"/>
          <w:b/>
          <w:bCs/>
          <w:color w:val="405CA1"/>
          <w:sz w:val="32"/>
          <w:szCs w:val="32"/>
        </w:rPr>
      </w:pPr>
    </w:p>
    <w:p w14:paraId="22313DEA" w14:textId="77777777" w:rsidR="00062CC1" w:rsidRDefault="00062CC1" w:rsidP="004D7ACD">
      <w:pPr>
        <w:rPr>
          <w:rFonts w:cs="Arial"/>
          <w:b/>
          <w:bCs/>
          <w:color w:val="405CA1"/>
          <w:sz w:val="32"/>
          <w:szCs w:val="32"/>
        </w:rPr>
      </w:pPr>
    </w:p>
    <w:p w14:paraId="756B4D76" w14:textId="791419E4"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24C5331D" w:rsidR="004D7ACD" w:rsidRPr="00421D5D" w:rsidRDefault="009562E2" w:rsidP="004D7ACD">
      <w:pPr>
        <w:rPr>
          <w:rFonts w:cs="Arial"/>
          <w:b/>
          <w:bCs/>
          <w:color w:val="5B5B5F"/>
          <w:sz w:val="28"/>
          <w:szCs w:val="28"/>
        </w:rPr>
      </w:pPr>
      <w:r>
        <w:rPr>
          <w:rFonts w:cs="Arial"/>
          <w:b/>
          <w:bCs/>
          <w:color w:val="5B5B5F"/>
          <w:sz w:val="28"/>
          <w:szCs w:val="28"/>
        </w:rPr>
        <w:t>R$1.750,00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3DADB7B9" w:rsidR="004D7ACD" w:rsidRDefault="004D7ACD" w:rsidP="004D7ACD">
      <w:pPr>
        <w:rPr>
          <w:rFonts w:cs="Arial"/>
          <w:color w:val="5B5B5F"/>
          <w:sz w:val="28"/>
          <w:szCs w:val="28"/>
        </w:rPr>
      </w:pPr>
      <w:r w:rsidRPr="00514AE0">
        <w:rPr>
          <w:rFonts w:cs="Arial"/>
          <w:color w:val="5B5B5F"/>
          <w:sz w:val="28"/>
          <w:szCs w:val="28"/>
        </w:rPr>
        <w:t xml:space="preserve">De </w:t>
      </w:r>
      <w:r w:rsidR="00514AE0" w:rsidRPr="00514AE0">
        <w:rPr>
          <w:rFonts w:cs="Arial"/>
          <w:b/>
          <w:bCs/>
          <w:color w:val="5B5B5F"/>
          <w:sz w:val="28"/>
          <w:szCs w:val="28"/>
        </w:rPr>
        <w:t>01</w:t>
      </w:r>
      <w:r w:rsidR="005635CD" w:rsidRPr="00514AE0">
        <w:rPr>
          <w:rFonts w:cs="Arial"/>
          <w:b/>
          <w:bCs/>
          <w:color w:val="5B5B5F"/>
          <w:sz w:val="28"/>
          <w:szCs w:val="28"/>
        </w:rPr>
        <w:t>/0</w:t>
      </w:r>
      <w:r w:rsidR="00514AE0" w:rsidRPr="00514AE0">
        <w:rPr>
          <w:rFonts w:cs="Arial"/>
          <w:b/>
          <w:bCs/>
          <w:color w:val="5B5B5F"/>
          <w:sz w:val="28"/>
          <w:szCs w:val="28"/>
        </w:rPr>
        <w:t>7</w:t>
      </w:r>
      <w:r w:rsidR="005635CD" w:rsidRPr="00514AE0">
        <w:rPr>
          <w:rFonts w:cs="Arial"/>
          <w:b/>
          <w:bCs/>
          <w:color w:val="5B5B5F"/>
          <w:sz w:val="28"/>
          <w:szCs w:val="28"/>
        </w:rPr>
        <w:t xml:space="preserve">/2024 às </w:t>
      </w:r>
      <w:r w:rsidR="00514AE0" w:rsidRPr="00514AE0">
        <w:rPr>
          <w:rFonts w:cs="Arial"/>
          <w:b/>
          <w:bCs/>
          <w:color w:val="5B5B5F"/>
          <w:sz w:val="28"/>
          <w:szCs w:val="28"/>
        </w:rPr>
        <w:t>09</w:t>
      </w:r>
      <w:r w:rsidR="0021754E" w:rsidRPr="00514AE0">
        <w:rPr>
          <w:rFonts w:cs="Arial"/>
          <w:b/>
          <w:bCs/>
          <w:color w:val="5B5B5F"/>
          <w:sz w:val="28"/>
          <w:szCs w:val="28"/>
        </w:rPr>
        <w:t>:00</w:t>
      </w:r>
      <w:r w:rsidR="005635CD" w:rsidRPr="00514AE0">
        <w:rPr>
          <w:rFonts w:cs="Arial"/>
          <w:b/>
          <w:bCs/>
          <w:color w:val="5B5B5F"/>
          <w:sz w:val="28"/>
          <w:szCs w:val="28"/>
        </w:rPr>
        <w:t xml:space="preserve">hs até </w:t>
      </w:r>
      <w:r w:rsidR="00514AE0" w:rsidRPr="00514AE0">
        <w:rPr>
          <w:rFonts w:cs="Arial"/>
          <w:b/>
          <w:bCs/>
          <w:color w:val="5B5B5F"/>
          <w:sz w:val="28"/>
          <w:szCs w:val="28"/>
        </w:rPr>
        <w:t>04</w:t>
      </w:r>
      <w:r w:rsidR="005635CD" w:rsidRPr="00514AE0">
        <w:rPr>
          <w:rFonts w:cs="Arial"/>
          <w:b/>
          <w:bCs/>
          <w:color w:val="5B5B5F"/>
          <w:sz w:val="28"/>
          <w:szCs w:val="28"/>
        </w:rPr>
        <w:t>/0</w:t>
      </w:r>
      <w:r w:rsidR="00514AE0" w:rsidRPr="00514AE0">
        <w:rPr>
          <w:rFonts w:cs="Arial"/>
          <w:b/>
          <w:bCs/>
          <w:color w:val="5B5B5F"/>
          <w:sz w:val="28"/>
          <w:szCs w:val="28"/>
        </w:rPr>
        <w:t>7</w:t>
      </w:r>
      <w:r w:rsidR="005635CD" w:rsidRPr="00514AE0">
        <w:rPr>
          <w:rFonts w:cs="Arial"/>
          <w:b/>
          <w:bCs/>
          <w:color w:val="5B5B5F"/>
          <w:sz w:val="28"/>
          <w:szCs w:val="28"/>
        </w:rPr>
        <w:t xml:space="preserve">/2024 às </w:t>
      </w:r>
      <w:r w:rsidR="00514AE0" w:rsidRPr="00514AE0">
        <w:rPr>
          <w:rFonts w:cs="Arial"/>
          <w:b/>
          <w:bCs/>
          <w:color w:val="5B5B5F"/>
          <w:sz w:val="28"/>
          <w:szCs w:val="28"/>
        </w:rPr>
        <w:t>09</w:t>
      </w:r>
      <w:r w:rsidR="0021754E" w:rsidRPr="00514AE0">
        <w:rPr>
          <w:rFonts w:cs="Arial"/>
          <w:b/>
          <w:bCs/>
          <w:color w:val="5B5B5F"/>
          <w:sz w:val="28"/>
          <w:szCs w:val="28"/>
        </w:rPr>
        <w:t>:00</w:t>
      </w:r>
      <w:r w:rsidR="005635CD" w:rsidRPr="00514AE0">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BF15A7">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BF15A7">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BF15A7">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BF15A7">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BF15A7">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BF15A7">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BF15A7">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BF15A7">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09F9AFA4"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21754E">
        <w:rPr>
          <w:rFonts w:cs="Arial"/>
          <w:b/>
          <w:bCs/>
          <w:color w:val="000000" w:themeColor="text1"/>
          <w:szCs w:val="20"/>
        </w:rPr>
        <w:t>Nº</w:t>
      </w:r>
      <w:r w:rsidR="00514AE0">
        <w:rPr>
          <w:rFonts w:cs="Arial"/>
          <w:b/>
          <w:bCs/>
          <w:color w:val="000000" w:themeColor="text1"/>
          <w:szCs w:val="20"/>
        </w:rPr>
        <w:t>56</w:t>
      </w:r>
    </w:p>
    <w:p w14:paraId="5E20A7FC" w14:textId="43072658" w:rsidR="00C074DA" w:rsidRDefault="00C074DA" w:rsidP="00C074DA">
      <w:pPr>
        <w:spacing w:line="276" w:lineRule="auto"/>
        <w:jc w:val="center"/>
        <w:rPr>
          <w:rFonts w:cs="Arial"/>
          <w:b/>
          <w:bCs/>
          <w:color w:val="000000" w:themeColor="text1"/>
          <w:szCs w:val="20"/>
        </w:rPr>
      </w:pPr>
    </w:p>
    <w:p w14:paraId="25D96097" w14:textId="03D39D31"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DB2FBB">
        <w:rPr>
          <w:rFonts w:cs="Arial"/>
          <w:b/>
          <w:bCs/>
          <w:color w:val="000000" w:themeColor="text1"/>
          <w:szCs w:val="20"/>
        </w:rPr>
        <w:t>n</w:t>
      </w:r>
      <w:r w:rsidRPr="0021754E">
        <w:rPr>
          <w:rFonts w:cs="Arial"/>
          <w:b/>
          <w:bCs/>
          <w:color w:val="000000" w:themeColor="text1"/>
          <w:szCs w:val="20"/>
        </w:rPr>
        <w:t>.°</w:t>
      </w:r>
      <w:r w:rsidR="00514AE0">
        <w:rPr>
          <w:rFonts w:cs="Arial"/>
          <w:b/>
          <w:bCs/>
          <w:color w:val="000000" w:themeColor="text1"/>
          <w:szCs w:val="20"/>
        </w:rPr>
        <w:t>73</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00CB5294"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514AE0">
        <w:rPr>
          <w:rFonts w:cs="Arial"/>
          <w:b/>
          <w:bCs/>
          <w:color w:val="000000" w:themeColor="text1"/>
          <w:szCs w:val="20"/>
        </w:rPr>
        <w:t xml:space="preserve">De </w:t>
      </w:r>
      <w:r w:rsidR="00514AE0" w:rsidRPr="00514AE0">
        <w:rPr>
          <w:rFonts w:cs="Arial"/>
          <w:b/>
          <w:bCs/>
          <w:color w:val="000000" w:themeColor="text1"/>
          <w:szCs w:val="20"/>
        </w:rPr>
        <w:t>01</w:t>
      </w:r>
      <w:r w:rsidR="005067B4" w:rsidRPr="00514AE0">
        <w:rPr>
          <w:rFonts w:cs="Arial"/>
          <w:b/>
          <w:bCs/>
          <w:color w:val="000000" w:themeColor="text1"/>
          <w:szCs w:val="20"/>
        </w:rPr>
        <w:t>/0</w:t>
      </w:r>
      <w:r w:rsidR="00514AE0" w:rsidRPr="00514AE0">
        <w:rPr>
          <w:rFonts w:cs="Arial"/>
          <w:b/>
          <w:bCs/>
          <w:color w:val="000000" w:themeColor="text1"/>
          <w:szCs w:val="20"/>
        </w:rPr>
        <w:t>7</w:t>
      </w:r>
      <w:r w:rsidR="005067B4" w:rsidRPr="00514AE0">
        <w:rPr>
          <w:rFonts w:cs="Arial"/>
          <w:b/>
          <w:bCs/>
          <w:color w:val="000000" w:themeColor="text1"/>
          <w:szCs w:val="20"/>
        </w:rPr>
        <w:t xml:space="preserve">/2024 às </w:t>
      </w:r>
      <w:r w:rsidR="00514AE0" w:rsidRPr="00514AE0">
        <w:rPr>
          <w:rFonts w:cs="Arial"/>
          <w:b/>
          <w:bCs/>
          <w:color w:val="000000" w:themeColor="text1"/>
          <w:szCs w:val="20"/>
        </w:rPr>
        <w:t>09</w:t>
      </w:r>
      <w:r w:rsidR="0021754E" w:rsidRPr="00514AE0">
        <w:rPr>
          <w:rFonts w:cs="Arial"/>
          <w:b/>
          <w:bCs/>
          <w:color w:val="000000" w:themeColor="text1"/>
          <w:szCs w:val="20"/>
        </w:rPr>
        <w:t>:00</w:t>
      </w:r>
      <w:r w:rsidR="005067B4" w:rsidRPr="00514AE0">
        <w:rPr>
          <w:rFonts w:cs="Arial"/>
          <w:b/>
          <w:bCs/>
          <w:color w:val="000000" w:themeColor="text1"/>
          <w:szCs w:val="20"/>
        </w:rPr>
        <w:t xml:space="preserve">hs até o dia </w:t>
      </w:r>
      <w:r w:rsidR="00514AE0" w:rsidRPr="00514AE0">
        <w:rPr>
          <w:rFonts w:cs="Arial"/>
          <w:b/>
          <w:bCs/>
          <w:color w:val="000000" w:themeColor="text1"/>
          <w:szCs w:val="20"/>
        </w:rPr>
        <w:t>04</w:t>
      </w:r>
      <w:r w:rsidR="005067B4" w:rsidRPr="00514AE0">
        <w:rPr>
          <w:rFonts w:cs="Arial"/>
          <w:b/>
          <w:bCs/>
          <w:color w:val="000000" w:themeColor="text1"/>
          <w:szCs w:val="20"/>
        </w:rPr>
        <w:t>/0</w:t>
      </w:r>
      <w:r w:rsidR="00514AE0" w:rsidRPr="00514AE0">
        <w:rPr>
          <w:rFonts w:cs="Arial"/>
          <w:b/>
          <w:bCs/>
          <w:color w:val="000000" w:themeColor="text1"/>
          <w:szCs w:val="20"/>
        </w:rPr>
        <w:t>7</w:t>
      </w:r>
      <w:r w:rsidR="005067B4" w:rsidRPr="00514AE0">
        <w:rPr>
          <w:rFonts w:cs="Arial"/>
          <w:b/>
          <w:bCs/>
          <w:color w:val="000000" w:themeColor="text1"/>
          <w:szCs w:val="20"/>
        </w:rPr>
        <w:t xml:space="preserve">/2024 às </w:t>
      </w:r>
      <w:r w:rsidR="00514AE0" w:rsidRPr="00514AE0">
        <w:rPr>
          <w:rFonts w:cs="Arial"/>
          <w:b/>
          <w:bCs/>
          <w:color w:val="000000" w:themeColor="text1"/>
          <w:szCs w:val="20"/>
        </w:rPr>
        <w:t>09</w:t>
      </w:r>
      <w:r w:rsidR="0021754E" w:rsidRPr="00514AE0">
        <w:rPr>
          <w:rFonts w:cs="Arial"/>
          <w:b/>
          <w:bCs/>
          <w:color w:val="000000" w:themeColor="text1"/>
          <w:szCs w:val="20"/>
        </w:rPr>
        <w:t>:00</w:t>
      </w:r>
      <w:r w:rsidR="005067B4" w:rsidRPr="00514AE0">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6A82A936" w:rsidR="00C074DA" w:rsidRPr="007D703D" w:rsidRDefault="00C074DA" w:rsidP="007D703D">
      <w:pPr>
        <w:ind w:firstLine="360"/>
        <w:jc w:val="both"/>
        <w:rPr>
          <w:rFonts w:eastAsia="Calibri" w:cs="Arial"/>
          <w:szCs w:val="20"/>
          <w:lang w:eastAsia="en-US"/>
        </w:rPr>
      </w:pPr>
      <w:r w:rsidRPr="007D703D">
        <w:rPr>
          <w:rFonts w:cs="Arial"/>
          <w:color w:val="000000" w:themeColor="text1"/>
          <w:szCs w:val="20"/>
        </w:rPr>
        <w:t xml:space="preserve">O objeto da presente dispensa é a escolha da proposta mais vantajosa para a </w:t>
      </w:r>
      <w:r w:rsidR="005C3328" w:rsidRPr="007D703D">
        <w:rPr>
          <w:rFonts w:cs="Arial"/>
          <w:szCs w:val="20"/>
        </w:rPr>
        <w:t>aquisição</w:t>
      </w:r>
      <w:r w:rsidRPr="007D703D">
        <w:rPr>
          <w:rFonts w:cs="Arial"/>
          <w:szCs w:val="20"/>
        </w:rPr>
        <w:t xml:space="preserve">, </w:t>
      </w:r>
      <w:r w:rsidRPr="007D703D">
        <w:rPr>
          <w:rFonts w:cs="Arial"/>
          <w:color w:val="000000" w:themeColor="text1"/>
          <w:szCs w:val="20"/>
        </w:rPr>
        <w:t>por dispensa de licitação, de</w:t>
      </w:r>
      <w:r w:rsidR="007D703D" w:rsidRPr="007D703D">
        <w:rPr>
          <w:rFonts w:cs="Arial"/>
          <w:color w:val="000000" w:themeColor="text1"/>
          <w:szCs w:val="20"/>
        </w:rPr>
        <w:t xml:space="preserve"> </w:t>
      </w:r>
      <w:r w:rsidR="007D703D" w:rsidRPr="009562E2">
        <w:rPr>
          <w:rFonts w:eastAsia="Calibri" w:cs="Arial"/>
          <w:b/>
          <w:szCs w:val="20"/>
          <w:lang w:eastAsia="en-US"/>
        </w:rPr>
        <w:t>Limpeza do pavimento do plenário da CÂMARA, aproximadamente 150m², entre o forro e o telhado, com retirada de detritos e restos de animais mortos: ratos, pombos, morcegos e insetos</w:t>
      </w:r>
      <w:r w:rsidR="007D703D" w:rsidRPr="007D703D">
        <w:rPr>
          <w:rFonts w:eastAsia="Calibri" w:cs="Arial"/>
          <w:szCs w:val="20"/>
          <w:lang w:eastAsia="en-US"/>
        </w:rPr>
        <w:t xml:space="preserve">, </w:t>
      </w:r>
      <w:r w:rsidRPr="007D703D">
        <w:rPr>
          <w:rFonts w:cs="Arial"/>
          <w:color w:val="000000" w:themeColor="text1"/>
          <w:szCs w:val="20"/>
        </w:rPr>
        <w:t>conforme condições, quantidades e exigências estabelecidas neste Aviso de Contratação Direta e seus anexos.</w:t>
      </w:r>
    </w:p>
    <w:p w14:paraId="2CAB7B64" w14:textId="77777777" w:rsidR="00C074DA" w:rsidRPr="007D703D"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sidRPr="007D703D">
        <w:rPr>
          <w:rFonts w:ascii="Arial" w:hAnsi="Arial" w:cs="Arial"/>
          <w:szCs w:val="20"/>
        </w:rPr>
        <w:t>A contratação ocorrerá conforme tabela abaixo.</w:t>
      </w:r>
    </w:p>
    <w:tbl>
      <w:tblPr>
        <w:tblStyle w:val="Tabelacomgrade"/>
        <w:tblW w:w="8642" w:type="dxa"/>
        <w:tblLook w:val="04A0" w:firstRow="1" w:lastRow="0" w:firstColumn="1" w:lastColumn="0" w:noHBand="0" w:noVBand="1"/>
      </w:tblPr>
      <w:tblGrid>
        <w:gridCol w:w="742"/>
        <w:gridCol w:w="815"/>
        <w:gridCol w:w="2917"/>
        <w:gridCol w:w="1060"/>
        <w:gridCol w:w="1632"/>
        <w:gridCol w:w="1476"/>
      </w:tblGrid>
      <w:tr w:rsidR="001A10AB" w:rsidRPr="003052EB" w14:paraId="51488D8A" w14:textId="77777777" w:rsidTr="007D703D">
        <w:tc>
          <w:tcPr>
            <w:tcW w:w="742" w:type="dxa"/>
          </w:tcPr>
          <w:p w14:paraId="15BC7943" w14:textId="272809B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ITEM</w:t>
            </w:r>
          </w:p>
        </w:tc>
        <w:tc>
          <w:tcPr>
            <w:tcW w:w="815" w:type="dxa"/>
          </w:tcPr>
          <w:p w14:paraId="7A84C073" w14:textId="01E00440"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UNID</w:t>
            </w:r>
            <w:r w:rsidR="00C40E5B">
              <w:rPr>
                <w:rFonts w:ascii="Arial" w:hAnsi="Arial" w:cs="Arial"/>
                <w:b/>
                <w:bCs/>
                <w:sz w:val="22"/>
                <w:szCs w:val="22"/>
              </w:rPr>
              <w:t>.</w:t>
            </w:r>
          </w:p>
        </w:tc>
        <w:tc>
          <w:tcPr>
            <w:tcW w:w="2917" w:type="dxa"/>
          </w:tcPr>
          <w:p w14:paraId="51D7F60F" w14:textId="219E71D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DESCRIÇÃO</w:t>
            </w:r>
          </w:p>
        </w:tc>
        <w:tc>
          <w:tcPr>
            <w:tcW w:w="1060" w:type="dxa"/>
          </w:tcPr>
          <w:p w14:paraId="65078812" w14:textId="515C3E78"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QUANT</w:t>
            </w:r>
            <w:r w:rsidR="00E44248" w:rsidRPr="003052EB">
              <w:rPr>
                <w:rFonts w:ascii="Arial" w:hAnsi="Arial" w:cs="Arial"/>
                <w:b/>
                <w:bCs/>
                <w:sz w:val="22"/>
                <w:szCs w:val="22"/>
              </w:rPr>
              <w:t>.</w:t>
            </w:r>
          </w:p>
        </w:tc>
        <w:tc>
          <w:tcPr>
            <w:tcW w:w="1632" w:type="dxa"/>
          </w:tcPr>
          <w:p w14:paraId="6CFC0695" w14:textId="1AD351A7"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VALOR UNITÁRIO R$</w:t>
            </w:r>
          </w:p>
        </w:tc>
        <w:tc>
          <w:tcPr>
            <w:tcW w:w="1476" w:type="dxa"/>
          </w:tcPr>
          <w:p w14:paraId="1B957F7D" w14:textId="6F8258A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VALOR TOTAL R$</w:t>
            </w:r>
          </w:p>
        </w:tc>
      </w:tr>
      <w:tr w:rsidR="001A10AB" w:rsidRPr="003052EB" w14:paraId="34DC047D" w14:textId="77777777" w:rsidTr="007D703D">
        <w:trPr>
          <w:trHeight w:val="886"/>
        </w:trPr>
        <w:tc>
          <w:tcPr>
            <w:tcW w:w="742" w:type="dxa"/>
          </w:tcPr>
          <w:p w14:paraId="676ACAA3" w14:textId="2F658C75"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sz w:val="22"/>
                <w:szCs w:val="22"/>
              </w:rPr>
              <w:t>01</w:t>
            </w:r>
          </w:p>
        </w:tc>
        <w:tc>
          <w:tcPr>
            <w:tcW w:w="815" w:type="dxa"/>
          </w:tcPr>
          <w:p w14:paraId="06ECB173" w14:textId="65CA21CB"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sz w:val="22"/>
                <w:szCs w:val="22"/>
              </w:rPr>
              <w:t>UNID.</w:t>
            </w:r>
          </w:p>
        </w:tc>
        <w:tc>
          <w:tcPr>
            <w:tcW w:w="2917" w:type="dxa"/>
          </w:tcPr>
          <w:p w14:paraId="41604146" w14:textId="150A8D65" w:rsidR="00C40E5B" w:rsidRPr="007D703D" w:rsidRDefault="007D703D" w:rsidP="007D703D">
            <w:pPr>
              <w:suppressAutoHyphens w:val="0"/>
              <w:spacing w:after="160" w:line="256" w:lineRule="auto"/>
              <w:jc w:val="both"/>
              <w:rPr>
                <w:rFonts w:eastAsia="Calibri" w:cs="Arial"/>
                <w:sz w:val="22"/>
                <w:szCs w:val="22"/>
                <w:lang w:eastAsia="en-US"/>
              </w:rPr>
            </w:pPr>
            <w:r w:rsidRPr="007D703D">
              <w:rPr>
                <w:rFonts w:eastAsia="Calibri" w:cs="Arial"/>
                <w:sz w:val="22"/>
                <w:szCs w:val="22"/>
                <w:lang w:eastAsia="en-US"/>
              </w:rPr>
              <w:t>Limpeza do pavimento do plenário da CÂMARA, aproximadamente 150m², entre o forro e o telhado, com retirada de detritos e restos de animais mortos: ratos, pombos, morcegos e insetos.</w:t>
            </w:r>
          </w:p>
        </w:tc>
        <w:tc>
          <w:tcPr>
            <w:tcW w:w="1060" w:type="dxa"/>
          </w:tcPr>
          <w:p w14:paraId="24B4F29F" w14:textId="62F67C49" w:rsidR="001A10AB" w:rsidRPr="003052EB" w:rsidRDefault="00EE6F88" w:rsidP="008B50AA">
            <w:pPr>
              <w:pStyle w:val="PADRO"/>
              <w:keepNext w:val="0"/>
              <w:widowControl/>
              <w:shd w:val="clear" w:color="auto" w:fill="auto"/>
              <w:spacing w:before="120" w:after="120"/>
              <w:ind w:firstLine="0"/>
              <w:jc w:val="center"/>
              <w:rPr>
                <w:rFonts w:ascii="Arial" w:hAnsi="Arial" w:cs="Arial"/>
                <w:sz w:val="22"/>
                <w:szCs w:val="22"/>
              </w:rPr>
            </w:pPr>
            <w:r w:rsidRPr="003052EB">
              <w:rPr>
                <w:rFonts w:ascii="Arial" w:hAnsi="Arial" w:cs="Arial"/>
                <w:sz w:val="22"/>
                <w:szCs w:val="22"/>
              </w:rPr>
              <w:t>0</w:t>
            </w:r>
            <w:r w:rsidR="008978BA">
              <w:rPr>
                <w:rFonts w:ascii="Arial" w:hAnsi="Arial" w:cs="Arial"/>
                <w:sz w:val="22"/>
                <w:szCs w:val="22"/>
              </w:rPr>
              <w:t>1</w:t>
            </w:r>
          </w:p>
        </w:tc>
        <w:tc>
          <w:tcPr>
            <w:tcW w:w="1632" w:type="dxa"/>
          </w:tcPr>
          <w:p w14:paraId="4CCC8F95" w14:textId="47E13ABD" w:rsidR="001A10AB" w:rsidRPr="003052EB" w:rsidRDefault="009562E2" w:rsidP="008B50AA">
            <w:pPr>
              <w:pStyle w:val="PADRO"/>
              <w:keepNext w:val="0"/>
              <w:widowControl/>
              <w:shd w:val="clear" w:color="auto" w:fill="auto"/>
              <w:spacing w:before="120" w:after="120"/>
              <w:ind w:firstLine="0"/>
              <w:jc w:val="center"/>
              <w:rPr>
                <w:rFonts w:ascii="Arial" w:hAnsi="Arial" w:cs="Arial"/>
                <w:sz w:val="22"/>
                <w:szCs w:val="22"/>
              </w:rPr>
            </w:pPr>
            <w:r>
              <w:rPr>
                <w:rFonts w:ascii="Arial" w:hAnsi="Arial" w:cs="Arial"/>
                <w:sz w:val="22"/>
                <w:szCs w:val="22"/>
              </w:rPr>
              <w:t>R$1.750,00</w:t>
            </w:r>
          </w:p>
        </w:tc>
        <w:tc>
          <w:tcPr>
            <w:tcW w:w="1476" w:type="dxa"/>
          </w:tcPr>
          <w:p w14:paraId="5EAD2E74" w14:textId="7F10075D" w:rsidR="001A10AB" w:rsidRPr="003052EB" w:rsidRDefault="009562E2" w:rsidP="001A10AB">
            <w:pPr>
              <w:pStyle w:val="PADRO"/>
              <w:keepNext w:val="0"/>
              <w:widowControl/>
              <w:shd w:val="clear" w:color="auto" w:fill="auto"/>
              <w:spacing w:before="120" w:after="120"/>
              <w:ind w:firstLine="0"/>
              <w:rPr>
                <w:rFonts w:ascii="Arial" w:hAnsi="Arial" w:cs="Arial"/>
                <w:sz w:val="22"/>
                <w:szCs w:val="22"/>
              </w:rPr>
            </w:pPr>
            <w:r>
              <w:rPr>
                <w:rFonts w:ascii="Arial" w:hAnsi="Arial" w:cs="Arial"/>
                <w:sz w:val="22"/>
                <w:szCs w:val="22"/>
              </w:rPr>
              <w:t>R$1.750,00</w:t>
            </w:r>
          </w:p>
        </w:tc>
      </w:tr>
      <w:tr w:rsidR="00C83B89" w:rsidRPr="003052EB" w14:paraId="105165C1" w14:textId="77777777" w:rsidTr="007D703D">
        <w:trPr>
          <w:trHeight w:val="414"/>
        </w:trPr>
        <w:tc>
          <w:tcPr>
            <w:tcW w:w="742" w:type="dxa"/>
          </w:tcPr>
          <w:p w14:paraId="426A046B" w14:textId="77777777" w:rsidR="00C83B89" w:rsidRPr="003052EB" w:rsidRDefault="00C83B89" w:rsidP="001A10AB">
            <w:pPr>
              <w:pStyle w:val="PADRO"/>
              <w:keepNext w:val="0"/>
              <w:widowControl/>
              <w:shd w:val="clear" w:color="auto" w:fill="auto"/>
              <w:spacing w:before="120" w:after="120"/>
              <w:ind w:firstLine="0"/>
              <w:rPr>
                <w:rFonts w:ascii="Arial" w:hAnsi="Arial" w:cs="Arial"/>
                <w:sz w:val="22"/>
                <w:szCs w:val="22"/>
              </w:rPr>
            </w:pPr>
          </w:p>
        </w:tc>
        <w:tc>
          <w:tcPr>
            <w:tcW w:w="815" w:type="dxa"/>
          </w:tcPr>
          <w:p w14:paraId="783845D9" w14:textId="77777777" w:rsidR="00C83B89" w:rsidRPr="003052EB" w:rsidRDefault="00C83B89" w:rsidP="001A10AB">
            <w:pPr>
              <w:pStyle w:val="PADRO"/>
              <w:keepNext w:val="0"/>
              <w:widowControl/>
              <w:shd w:val="clear" w:color="auto" w:fill="auto"/>
              <w:spacing w:before="120" w:after="120"/>
              <w:ind w:firstLine="0"/>
              <w:rPr>
                <w:rFonts w:ascii="Arial" w:hAnsi="Arial" w:cs="Arial"/>
                <w:sz w:val="22"/>
                <w:szCs w:val="22"/>
              </w:rPr>
            </w:pPr>
          </w:p>
        </w:tc>
        <w:tc>
          <w:tcPr>
            <w:tcW w:w="2917" w:type="dxa"/>
          </w:tcPr>
          <w:p w14:paraId="21DC92E4" w14:textId="11B44563" w:rsidR="00C83B89" w:rsidRPr="003052EB" w:rsidRDefault="00C83B89" w:rsidP="001A10AB">
            <w:pPr>
              <w:pStyle w:val="PADRO"/>
              <w:keepNext w:val="0"/>
              <w:widowControl/>
              <w:shd w:val="clear" w:color="auto" w:fill="auto"/>
              <w:spacing w:before="120" w:after="120"/>
              <w:ind w:firstLine="0"/>
              <w:rPr>
                <w:rFonts w:ascii="Arial" w:hAnsi="Arial" w:cs="Arial"/>
                <w:b/>
                <w:bCs/>
                <w:sz w:val="22"/>
                <w:szCs w:val="22"/>
              </w:rPr>
            </w:pPr>
            <w:r w:rsidRPr="003052EB">
              <w:rPr>
                <w:rFonts w:ascii="Arial" w:hAnsi="Arial" w:cs="Arial"/>
                <w:b/>
                <w:bCs/>
                <w:sz w:val="22"/>
                <w:szCs w:val="22"/>
              </w:rPr>
              <w:t>TOTAL</w:t>
            </w:r>
          </w:p>
        </w:tc>
        <w:tc>
          <w:tcPr>
            <w:tcW w:w="1060" w:type="dxa"/>
          </w:tcPr>
          <w:p w14:paraId="25FBEE73" w14:textId="77777777" w:rsidR="00C83B89" w:rsidRPr="003052EB" w:rsidRDefault="00C83B89" w:rsidP="008B50AA">
            <w:pPr>
              <w:pStyle w:val="PADRO"/>
              <w:keepNext w:val="0"/>
              <w:widowControl/>
              <w:shd w:val="clear" w:color="auto" w:fill="auto"/>
              <w:spacing w:before="120" w:after="120"/>
              <w:ind w:firstLine="0"/>
              <w:jc w:val="center"/>
              <w:rPr>
                <w:rFonts w:ascii="Arial" w:hAnsi="Arial" w:cs="Arial"/>
                <w:sz w:val="22"/>
                <w:szCs w:val="22"/>
              </w:rPr>
            </w:pPr>
          </w:p>
        </w:tc>
        <w:tc>
          <w:tcPr>
            <w:tcW w:w="1632" w:type="dxa"/>
          </w:tcPr>
          <w:p w14:paraId="4CF77F67" w14:textId="55538968" w:rsidR="00C83B89" w:rsidRPr="003052EB" w:rsidRDefault="00C83B89" w:rsidP="008B50AA">
            <w:pPr>
              <w:pStyle w:val="PADRO"/>
              <w:keepNext w:val="0"/>
              <w:widowControl/>
              <w:shd w:val="clear" w:color="auto" w:fill="auto"/>
              <w:spacing w:before="120" w:after="120"/>
              <w:ind w:firstLine="0"/>
              <w:jc w:val="center"/>
              <w:rPr>
                <w:rFonts w:ascii="Arial" w:hAnsi="Arial" w:cs="Arial"/>
                <w:sz w:val="22"/>
                <w:szCs w:val="22"/>
              </w:rPr>
            </w:pPr>
          </w:p>
        </w:tc>
        <w:tc>
          <w:tcPr>
            <w:tcW w:w="1476" w:type="dxa"/>
          </w:tcPr>
          <w:p w14:paraId="4DDF7326" w14:textId="77F2C489" w:rsidR="00C83B89" w:rsidRPr="003052EB" w:rsidRDefault="009562E2" w:rsidP="001A10AB">
            <w:pPr>
              <w:pStyle w:val="PADRO"/>
              <w:keepNext w:val="0"/>
              <w:widowControl/>
              <w:shd w:val="clear" w:color="auto" w:fill="auto"/>
              <w:spacing w:before="120" w:after="120"/>
              <w:ind w:firstLine="0"/>
              <w:rPr>
                <w:rFonts w:ascii="Arial" w:hAnsi="Arial" w:cs="Arial"/>
                <w:b/>
                <w:bCs/>
                <w:sz w:val="22"/>
                <w:szCs w:val="22"/>
              </w:rPr>
            </w:pPr>
            <w:r>
              <w:rPr>
                <w:rFonts w:ascii="Arial" w:hAnsi="Arial" w:cs="Arial"/>
                <w:b/>
                <w:bCs/>
                <w:sz w:val="22"/>
                <w:szCs w:val="22"/>
              </w:rPr>
              <w:t>R$1.750,00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lastRenderedPageBreak/>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que</w:t>
      </w:r>
      <w:proofErr w:type="gramEnd"/>
      <w:r>
        <w:rPr>
          <w:rFonts w:cs="Arial"/>
          <w:color w:val="000000" w:themeColor="text1"/>
          <w:szCs w:val="20"/>
        </w:rPr>
        <w:t xml:space="preserv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estrangeiros</w:t>
      </w:r>
      <w:proofErr w:type="gramEnd"/>
      <w:r>
        <w:rPr>
          <w:rFonts w:cs="Arial"/>
          <w:color w:val="000000" w:themeColor="text1"/>
          <w:szCs w:val="20"/>
        </w:rPr>
        <w:t xml:space="preserve">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que</w:t>
      </w:r>
      <w:proofErr w:type="gramEnd"/>
      <w:r>
        <w:rPr>
          <w:rFonts w:cs="Arial"/>
          <w:color w:val="000000" w:themeColor="text1"/>
          <w:szCs w:val="20"/>
        </w:rPr>
        <w:t xml:space="preserv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autor</w:t>
      </w:r>
      <w:proofErr w:type="gramEnd"/>
      <w:r>
        <w:rPr>
          <w:rFonts w:cs="Arial"/>
          <w:color w:val="000000"/>
          <w:szCs w:val="20"/>
        </w:rPr>
        <w:t xml:space="preserve">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empresa</w:t>
      </w:r>
      <w:proofErr w:type="gramEnd"/>
      <w:r>
        <w:rPr>
          <w:rFonts w:cs="Arial"/>
          <w:color w:val="000000"/>
          <w:szCs w:val="20"/>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pessoa</w:t>
      </w:r>
      <w:proofErr w:type="gramEnd"/>
      <w:r>
        <w:rPr>
          <w:rFonts w:cs="Arial"/>
          <w:color w:val="000000"/>
          <w:szCs w:val="20"/>
        </w:rPr>
        <w:t xml:space="preserve">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aquele</w:t>
      </w:r>
      <w:proofErr w:type="gramEnd"/>
      <w:r>
        <w:rPr>
          <w:rFonts w:cs="Arial"/>
          <w:color w:val="00000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pessoa</w:t>
      </w:r>
      <w:proofErr w:type="gramEnd"/>
      <w:r>
        <w:rPr>
          <w:rFonts w:cs="Arial"/>
          <w:color w:val="000000"/>
          <w:szCs w:val="20"/>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szCs w:val="20"/>
        </w:rPr>
        <w:t>organizações</w:t>
      </w:r>
      <w:proofErr w:type="gramEnd"/>
      <w:r>
        <w:rPr>
          <w:rFonts w:cs="Arial"/>
          <w:color w:val="000000"/>
          <w:szCs w:val="20"/>
        </w:rPr>
        <w:t xml:space="preserve">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lastRenderedPageBreak/>
        <w:t xml:space="preserve">INGRESSO NA </w:t>
      </w:r>
      <w:r w:rsidR="00BF0EE1">
        <w:t>DISPENSA E</w:t>
      </w:r>
      <w:r>
        <w:t xml:space="preserve"> CADASTRAMENTO DA PROPOSTA INICIAL</w:t>
      </w:r>
      <w:bookmarkEnd w:id="2"/>
    </w:p>
    <w:p w14:paraId="174DC6A0" w14:textId="4BD69126"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7EDAAD87"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3052EB">
        <w:rPr>
          <w:rFonts w:cs="Arial"/>
          <w:color w:val="000000" w:themeColor="text1"/>
          <w:szCs w:val="20"/>
        </w:rPr>
        <w:t>.</w:t>
      </w:r>
      <w:r w:rsidR="001D2A12">
        <w:rPr>
          <w:rFonts w:cs="Arial"/>
          <w:color w:val="000000" w:themeColor="text1"/>
          <w:szCs w:val="20"/>
        </w:rPr>
        <w:t xml:space="preserve"> Monteiro, </w:t>
      </w:r>
      <w:proofErr w:type="gramStart"/>
      <w:r w:rsidR="001D2A12">
        <w:rPr>
          <w:rFonts w:cs="Arial"/>
          <w:color w:val="000000" w:themeColor="text1"/>
          <w:szCs w:val="20"/>
        </w:rPr>
        <w:t>185 centro</w:t>
      </w:r>
      <w:proofErr w:type="gramEnd"/>
      <w:r w:rsidR="001D2A12">
        <w:rPr>
          <w:rFonts w:cs="Arial"/>
          <w:color w:val="000000" w:themeColor="text1"/>
          <w:szCs w:val="20"/>
        </w:rPr>
        <w:t>,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568CF22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w:t>
      </w:r>
      <w:r w:rsidR="00C83B89">
        <w:rPr>
          <w:rFonts w:cs="Arial"/>
          <w:szCs w:val="20"/>
        </w:rPr>
        <w:t xml:space="preserve"> </w:t>
      </w:r>
      <w:r w:rsidRPr="004B367C">
        <w:rPr>
          <w:rFonts w:cs="Arial"/>
          <w:szCs w:val="20"/>
        </w:rPr>
        <w:t>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 xml:space="preserve">deverá conter declaração de que compreende a integralidade dos custos para atendimento dos direitos trabalhistas assegurados na Constituição Federal, nas leis trabalhistas, nas normas </w:t>
      </w:r>
      <w:proofErr w:type="spellStart"/>
      <w:r w:rsidRPr="00B32E80">
        <w:rPr>
          <w:rFonts w:cs="Arial"/>
          <w:szCs w:val="20"/>
        </w:rPr>
        <w:t>infralegais</w:t>
      </w:r>
      <w:proofErr w:type="spellEnd"/>
      <w:r w:rsidRPr="00B32E80">
        <w:rPr>
          <w:rFonts w:cs="Arial"/>
          <w:szCs w:val="20"/>
        </w:rPr>
        <w:t>,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832AEAA"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contiver</w:t>
      </w:r>
      <w:proofErr w:type="gramEnd"/>
      <w:r>
        <w:rPr>
          <w:rFonts w:cs="Arial"/>
          <w:color w:val="000000"/>
          <w:szCs w:val="20"/>
        </w:rPr>
        <w:t xml:space="preserve">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não</w:t>
      </w:r>
      <w:proofErr w:type="gramEnd"/>
      <w:r>
        <w:rPr>
          <w:rFonts w:cs="Arial"/>
          <w:color w:val="000000"/>
          <w:szCs w:val="20"/>
        </w:rPr>
        <w:t xml:space="preserve">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proofErr w:type="gramStart"/>
      <w:r w:rsidRPr="004073B0">
        <w:rPr>
          <w:rFonts w:cs="Arial"/>
          <w:szCs w:val="20"/>
        </w:rPr>
        <w:t>apresentar</w:t>
      </w:r>
      <w:proofErr w:type="gramEnd"/>
      <w:r w:rsidRPr="004073B0">
        <w:rPr>
          <w:rFonts w:cs="Arial"/>
          <w:szCs w:val="20"/>
        </w:rPr>
        <w:t xml:space="preserve">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não</w:t>
      </w:r>
      <w:proofErr w:type="gramEnd"/>
      <w:r>
        <w:rPr>
          <w:rFonts w:cs="Arial"/>
          <w:color w:val="000000"/>
          <w:szCs w:val="20"/>
        </w:rPr>
        <w:t xml:space="preserve">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apresentar</w:t>
      </w:r>
      <w:proofErr w:type="gramEnd"/>
      <w:r>
        <w:rPr>
          <w:rFonts w:cs="Arial"/>
          <w:color w:val="000000"/>
          <w:szCs w:val="20"/>
        </w:rPr>
        <w:t xml:space="preserve">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szCs w:val="20"/>
        </w:rPr>
        <w:t>for</w:t>
      </w:r>
      <w:proofErr w:type="gramEnd"/>
      <w:r>
        <w:rPr>
          <w:rFonts w:cs="Arial"/>
          <w:szCs w:val="20"/>
        </w:rPr>
        <w:t xml:space="preserve"> insuficiente para a cobertura dos custos da contratação, apresente preços global ou unitários simbólicos, irrisórios ou de valor zero, incompatíveis com os preços dos insumos e salários de mercado, acrescidos dos respectivos encargos, </w:t>
      </w:r>
      <w:r>
        <w:rPr>
          <w:rFonts w:cs="Arial"/>
          <w:szCs w:val="20"/>
        </w:rPr>
        <w:lastRenderedPageBreak/>
        <w:t>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proofErr w:type="gramStart"/>
      <w:r>
        <w:rPr>
          <w:rFonts w:cs="Arial"/>
          <w:szCs w:val="20"/>
        </w:rPr>
        <w:t>apresentar</w:t>
      </w:r>
      <w:proofErr w:type="gramEnd"/>
      <w:r>
        <w:rPr>
          <w:rFonts w:cs="Arial"/>
          <w:szCs w:val="20"/>
        </w:rPr>
        <w:t xml:space="preserve">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proofErr w:type="gramStart"/>
      <w:r w:rsidRPr="00FB4A0E">
        <w:rPr>
          <w:i/>
        </w:rPr>
        <w:t>serão</w:t>
      </w:r>
      <w:proofErr w:type="gramEnd"/>
      <w:r w:rsidRPr="00FB4A0E">
        <w:rPr>
          <w:i/>
        </w:rPr>
        <w:t xml:space="preserve">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proofErr w:type="gramStart"/>
      <w:r w:rsidRPr="00FB4A0E">
        <w:rPr>
          <w:i/>
        </w:rPr>
        <w:t>será</w:t>
      </w:r>
      <w:proofErr w:type="gramEnd"/>
      <w:r w:rsidRPr="00FB4A0E">
        <w:rPr>
          <w:i/>
        </w:rPr>
        <w:t xml:space="preserve">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w:t>
      </w:r>
      <w:r>
        <w:rPr>
          <w:rFonts w:cs="Arial"/>
          <w:szCs w:val="20"/>
          <w:lang w:eastAsia="ar-SA"/>
        </w:rPr>
        <w:lastRenderedPageBreak/>
        <w:t xml:space="preserve">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lastRenderedPageBreak/>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w:t>
      </w:r>
      <w:proofErr w:type="gramStart"/>
      <w:r>
        <w:rPr>
          <w:rFonts w:eastAsia="Arial" w:cs="Arial"/>
          <w:color w:val="000000"/>
          <w:szCs w:val="20"/>
        </w:rPr>
        <w:t>(....</w:t>
      </w:r>
      <w:proofErr w:type="gramEnd"/>
      <w:r>
        <w:rPr>
          <w:rFonts w:eastAsia="Arial" w:cs="Arial"/>
          <w:color w:val="000000"/>
          <w:szCs w:val="20"/>
        </w:rPr>
        <w:t xml:space="preserve">.) </w:t>
      </w:r>
      <w:proofErr w:type="gramStart"/>
      <w:r>
        <w:rPr>
          <w:rFonts w:eastAsia="Arial" w:cs="Arial"/>
          <w:color w:val="000000"/>
          <w:szCs w:val="20"/>
        </w:rPr>
        <w:t>dias</w:t>
      </w:r>
      <w:proofErr w:type="gramEnd"/>
      <w:r>
        <w:rPr>
          <w:rFonts w:eastAsia="Arial" w:cs="Arial"/>
          <w:color w:val="000000"/>
          <w:szCs w:val="20"/>
        </w:rPr>
        <w:t>,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proofErr w:type="gramStart"/>
      <w:r w:rsidRPr="005B3A95">
        <w:rPr>
          <w:rFonts w:eastAsia="Arial" w:cs="Arial"/>
          <w:i/>
          <w:szCs w:val="20"/>
        </w:rPr>
        <w:t>a</w:t>
      </w:r>
      <w:proofErr w:type="gramEnd"/>
      <w:r w:rsidRPr="005B3A95">
        <w:rPr>
          <w:rFonts w:eastAsia="Arial" w:cs="Arial"/>
          <w:i/>
          <w:szCs w:val="20"/>
        </w:rPr>
        <w:t xml:space="preserve">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deixar</w:t>
      </w:r>
      <w:proofErr w:type="gramEnd"/>
      <w:r>
        <w:rPr>
          <w:rFonts w:cs="Arial"/>
          <w:color w:val="000000"/>
          <w:szCs w:val="20"/>
        </w:rPr>
        <w:t xml:space="preserve">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não</w:t>
      </w:r>
      <w:proofErr w:type="gramEnd"/>
      <w:r>
        <w:rPr>
          <w:rFonts w:cs="Arial"/>
          <w:color w:val="000000"/>
          <w:szCs w:val="20"/>
        </w:rPr>
        <w:t xml:space="preserve">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não</w:t>
      </w:r>
      <w:proofErr w:type="gramEnd"/>
      <w:r>
        <w:rPr>
          <w:rFonts w:cs="Arial"/>
          <w:color w:val="000000"/>
          <w:szCs w:val="20"/>
        </w:rPr>
        <w:t xml:space="preserve">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ensejar</w:t>
      </w:r>
      <w:proofErr w:type="gramEnd"/>
      <w:r>
        <w:rPr>
          <w:rFonts w:cs="Arial"/>
          <w:color w:val="000000"/>
          <w:szCs w:val="20"/>
        </w:rPr>
        <w:t xml:space="preserve">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apresentar</w:t>
      </w:r>
      <w:proofErr w:type="gramEnd"/>
      <w:r>
        <w:rPr>
          <w:rFonts w:cs="Arial"/>
          <w:color w:val="000000"/>
          <w:szCs w:val="20"/>
        </w:rPr>
        <w:t xml:space="preserve">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fraudar</w:t>
      </w:r>
      <w:proofErr w:type="gramEnd"/>
      <w:r>
        <w:rPr>
          <w:rFonts w:cs="Arial"/>
          <w:color w:val="000000"/>
          <w:szCs w:val="20"/>
        </w:rPr>
        <w:t xml:space="preserve">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 </w:t>
      </w:r>
      <w:proofErr w:type="gramStart"/>
      <w:r>
        <w:rPr>
          <w:rFonts w:cs="Arial"/>
          <w:color w:val="000000"/>
          <w:szCs w:val="20"/>
        </w:rPr>
        <w:t>comportar</w:t>
      </w:r>
      <w:proofErr w:type="gramEnd"/>
      <w:r>
        <w:rPr>
          <w:rFonts w:cs="Arial"/>
          <w:color w:val="000000"/>
          <w:szCs w:val="20"/>
        </w:rPr>
        <w:t>-se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praticar</w:t>
      </w:r>
      <w:proofErr w:type="gramEnd"/>
      <w:r>
        <w:rPr>
          <w:rFonts w:cs="Arial"/>
          <w:color w:val="000000"/>
          <w:szCs w:val="20"/>
        </w:rPr>
        <w:t xml:space="preserve">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 xml:space="preserve">sobre o valor estimado </w:t>
      </w:r>
      <w:proofErr w:type="gramStart"/>
      <w:r>
        <w:rPr>
          <w:rFonts w:cs="Arial"/>
        </w:rPr>
        <w:t>do(</w:t>
      </w:r>
      <w:proofErr w:type="gramEnd"/>
      <w:r>
        <w:rPr>
          <w:rFonts w:cs="Arial"/>
        </w:rPr>
        <w:t>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w:t>
      </w:r>
      <w:proofErr w:type="gramEnd"/>
      <w:r>
        <w:rPr>
          <w:rFonts w:cs="Arial"/>
          <w:bCs/>
        </w:rPr>
        <w:t xml:space="preserve">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as</w:t>
      </w:r>
      <w:proofErr w:type="gramEnd"/>
      <w:r>
        <w:rPr>
          <w:rFonts w:cs="Arial"/>
          <w:bCs/>
        </w:rPr>
        <w:t xml:space="preserve">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as</w:t>
      </w:r>
      <w:proofErr w:type="gramEnd"/>
      <w:r>
        <w:rPr>
          <w:rFonts w:cs="Arial"/>
          <w:bCs/>
        </w:rPr>
        <w:t xml:space="preserve">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lastRenderedPageBreak/>
        <w:t>os</w:t>
      </w:r>
      <w:proofErr w:type="gramEnd"/>
      <w:r>
        <w:rPr>
          <w:rFonts w:cs="Arial"/>
          <w:bCs/>
        </w:rPr>
        <w:t xml:space="preserve">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w:t>
      </w:r>
      <w:proofErr w:type="gramEnd"/>
      <w:r>
        <w:rPr>
          <w:rFonts w:cs="Arial"/>
          <w:bCs/>
        </w:rPr>
        <w:t xml:space="preserve">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republicar</w:t>
      </w:r>
      <w:proofErr w:type="gramEnd"/>
      <w:r>
        <w:rPr>
          <w:rFonts w:cs="Arial"/>
          <w:color w:val="000000"/>
          <w:szCs w:val="20"/>
        </w:rPr>
        <w:t xml:space="preserve">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valer</w:t>
      </w:r>
      <w:proofErr w:type="gramEnd"/>
      <w:r>
        <w:rPr>
          <w:rFonts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fixar</w:t>
      </w:r>
      <w:proofErr w:type="gramEnd"/>
      <w:r>
        <w:rPr>
          <w:rFonts w:cs="Arial"/>
          <w:color w:val="000000"/>
          <w:szCs w:val="20"/>
        </w:rPr>
        <w:t xml:space="preserve">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5F24A273"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514AE0">
        <w:rPr>
          <w:rFonts w:cs="Arial"/>
          <w:color w:val="000000"/>
          <w:szCs w:val="20"/>
        </w:rPr>
        <w:t xml:space="preserve"> 01</w:t>
      </w:r>
      <w:r>
        <w:rPr>
          <w:rFonts w:cs="Arial"/>
          <w:color w:val="000000"/>
          <w:szCs w:val="20"/>
        </w:rPr>
        <w:t xml:space="preserve"> </w:t>
      </w:r>
      <w:r w:rsidR="00C074DA">
        <w:rPr>
          <w:rFonts w:cs="Arial"/>
          <w:color w:val="000000"/>
          <w:szCs w:val="20"/>
        </w:rPr>
        <w:t>de</w:t>
      </w:r>
      <w:r>
        <w:rPr>
          <w:rFonts w:cs="Arial"/>
          <w:color w:val="000000"/>
          <w:szCs w:val="20"/>
        </w:rPr>
        <w:t xml:space="preserve"> </w:t>
      </w:r>
      <w:r w:rsidR="00514AE0">
        <w:rPr>
          <w:rFonts w:cs="Arial"/>
          <w:color w:val="000000"/>
          <w:szCs w:val="20"/>
        </w:rPr>
        <w:t>jul</w:t>
      </w:r>
      <w:bookmarkStart w:id="11" w:name="_GoBack"/>
      <w:bookmarkEnd w:id="11"/>
      <w:r w:rsidR="0021754E">
        <w:rPr>
          <w:rFonts w:cs="Arial"/>
          <w:color w:val="000000"/>
          <w:szCs w:val="20"/>
        </w:rPr>
        <w:t>ho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w:t>
      </w:r>
      <w:proofErr w:type="gramStart"/>
      <w:r w:rsidRPr="00855A8A">
        <w:rPr>
          <w:rFonts w:cs="Arial"/>
          <w:color w:val="000000"/>
          <w:szCs w:val="20"/>
        </w:rPr>
        <w:t>n.º</w:t>
      </w:r>
      <w:proofErr w:type="gramEnd"/>
      <w:r w:rsidRPr="00855A8A">
        <w:rPr>
          <w:rFonts w:cs="Arial"/>
          <w:color w:val="000000"/>
          <w:szCs w:val="20"/>
        </w:rPr>
        <w:t xml:space="preserve">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proofErr w:type="gramStart"/>
      <w:r>
        <w:rPr>
          <w:rFonts w:cs="Arial"/>
          <w:szCs w:val="20"/>
        </w:rPr>
        <w:t>prova</w:t>
      </w:r>
      <w:proofErr w:type="gramEnd"/>
      <w:r>
        <w:rPr>
          <w:rFonts w:cs="Arial"/>
          <w:szCs w:val="20"/>
        </w:rPr>
        <w:t xml:space="preserve">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proofErr w:type="gramStart"/>
      <w:r>
        <w:rPr>
          <w:rFonts w:cs="Arial"/>
          <w:color w:val="000000"/>
          <w:szCs w:val="20"/>
        </w:rPr>
        <w:t>prova</w:t>
      </w:r>
      <w:proofErr w:type="gramEnd"/>
      <w:r>
        <w:rPr>
          <w:rFonts w:cs="Arial"/>
          <w:color w:val="000000"/>
          <w:szCs w:val="20"/>
        </w:rPr>
        <w:t xml:space="preserve">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proofErr w:type="gramStart"/>
      <w:r w:rsidRPr="00855A8A">
        <w:rPr>
          <w:rFonts w:cs="Arial"/>
          <w:bCs/>
          <w:szCs w:val="20"/>
        </w:rPr>
        <w:t>declaração</w:t>
      </w:r>
      <w:proofErr w:type="gramEnd"/>
      <w:r w:rsidRPr="00855A8A">
        <w:rPr>
          <w:rFonts w:cs="Arial"/>
          <w:bCs/>
          <w:szCs w:val="20"/>
        </w:rPr>
        <w:t xml:space="preserve">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proofErr w:type="gramStart"/>
      <w:r>
        <w:rPr>
          <w:rFonts w:cs="Arial"/>
          <w:szCs w:val="20"/>
        </w:rPr>
        <w:t>prova</w:t>
      </w:r>
      <w:proofErr w:type="gramEnd"/>
      <w:r>
        <w:rPr>
          <w:rFonts w:cs="Arial"/>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proofErr w:type="gramStart"/>
      <w:r>
        <w:rPr>
          <w:rFonts w:cs="Arial"/>
          <w:bCs/>
          <w:szCs w:val="20"/>
        </w:rPr>
        <w:t>prova</w:t>
      </w:r>
      <w:proofErr w:type="gramEnd"/>
      <w:r>
        <w:rPr>
          <w:rFonts w:cs="Arial"/>
          <w:bCs/>
          <w:szCs w:val="20"/>
        </w:rPr>
        <w:t xml:space="preserve">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w:t>
      </w:r>
      <w:r>
        <w:rPr>
          <w:rFonts w:cs="Arial"/>
          <w:color w:val="000000"/>
          <w:szCs w:val="20"/>
        </w:rPr>
        <w:lastRenderedPageBreak/>
        <w:t xml:space="preserve">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proofErr w:type="gramStart"/>
      <w:r w:rsidRPr="00855A8A">
        <w:rPr>
          <w:rFonts w:cs="Arial"/>
          <w:szCs w:val="20"/>
        </w:rPr>
        <w:t>prova</w:t>
      </w:r>
      <w:proofErr w:type="gramEnd"/>
      <w:r w:rsidRPr="00855A8A">
        <w:rPr>
          <w:rFonts w:cs="Arial"/>
          <w:szCs w:val="20"/>
        </w:rPr>
        <w:t xml:space="preserve">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68399B2F" w:rsidR="00C074DA" w:rsidRPr="0021754E" w:rsidRDefault="00C074DA" w:rsidP="00C074DA">
      <w:pPr>
        <w:pStyle w:val="PargrafodaLista"/>
        <w:numPr>
          <w:ilvl w:val="3"/>
          <w:numId w:val="6"/>
        </w:numPr>
        <w:spacing w:before="120" w:after="120" w:line="276" w:lineRule="auto"/>
        <w:jc w:val="both"/>
        <w:rPr>
          <w:szCs w:val="20"/>
        </w:rPr>
      </w:pPr>
      <w:proofErr w:type="gramStart"/>
      <w:r w:rsidRPr="00855A8A">
        <w:rPr>
          <w:rFonts w:cs="Arial"/>
          <w:szCs w:val="20"/>
        </w:rPr>
        <w:t>caso</w:t>
      </w:r>
      <w:proofErr w:type="gramEnd"/>
      <w:r w:rsidRPr="00855A8A">
        <w:rPr>
          <w:rFonts w:cs="Arial"/>
          <w:szCs w:val="20"/>
        </w:rPr>
        <w:t xml:space="preserve">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05035962" w14:textId="49402993" w:rsidR="0021754E" w:rsidRDefault="0021754E" w:rsidP="0021754E">
      <w:pPr>
        <w:spacing w:before="120" w:after="120" w:line="276" w:lineRule="auto"/>
        <w:ind w:left="2355"/>
        <w:jc w:val="both"/>
        <w:rPr>
          <w:szCs w:val="20"/>
        </w:rPr>
      </w:pPr>
    </w:p>
    <w:p w14:paraId="3D87CBDD" w14:textId="1F966F4A" w:rsidR="0021754E" w:rsidRDefault="0021754E" w:rsidP="0021754E">
      <w:pPr>
        <w:spacing w:before="120" w:after="120" w:line="276" w:lineRule="auto"/>
        <w:ind w:left="2355"/>
        <w:jc w:val="both"/>
        <w:rPr>
          <w:szCs w:val="20"/>
        </w:rPr>
      </w:pPr>
    </w:p>
    <w:p w14:paraId="6938211A" w14:textId="5D910876" w:rsidR="0021754E" w:rsidRDefault="0021754E" w:rsidP="0021754E">
      <w:pPr>
        <w:spacing w:before="120" w:after="120" w:line="276" w:lineRule="auto"/>
        <w:ind w:left="2355"/>
        <w:jc w:val="both"/>
        <w:rPr>
          <w:szCs w:val="20"/>
        </w:rPr>
      </w:pPr>
    </w:p>
    <w:p w14:paraId="1FFE72E2" w14:textId="4B5346C3" w:rsidR="0021754E" w:rsidRDefault="0021754E" w:rsidP="0021754E">
      <w:pPr>
        <w:spacing w:before="120" w:after="120" w:line="276" w:lineRule="auto"/>
        <w:ind w:left="2355"/>
        <w:jc w:val="both"/>
        <w:rPr>
          <w:szCs w:val="20"/>
        </w:rPr>
      </w:pPr>
    </w:p>
    <w:p w14:paraId="54CE7178" w14:textId="5E008B7C" w:rsidR="0021754E" w:rsidRDefault="0021754E" w:rsidP="0021754E">
      <w:pPr>
        <w:spacing w:before="120" w:after="120" w:line="276" w:lineRule="auto"/>
        <w:ind w:left="2355"/>
        <w:jc w:val="both"/>
        <w:rPr>
          <w:szCs w:val="20"/>
        </w:rPr>
      </w:pPr>
    </w:p>
    <w:p w14:paraId="55F3EA97" w14:textId="4E8DD0D0" w:rsidR="0021754E" w:rsidRDefault="0021754E" w:rsidP="0021754E">
      <w:pPr>
        <w:spacing w:before="120" w:after="120" w:line="276" w:lineRule="auto"/>
        <w:ind w:left="2355"/>
        <w:rPr>
          <w:szCs w:val="20"/>
        </w:rPr>
      </w:pPr>
      <w:r>
        <w:rPr>
          <w:szCs w:val="20"/>
        </w:rPr>
        <w:t>_______________________________</w:t>
      </w:r>
    </w:p>
    <w:p w14:paraId="3190AD61" w14:textId="4C4E6918" w:rsidR="0021754E" w:rsidRPr="0021754E" w:rsidRDefault="0021754E" w:rsidP="0021754E">
      <w:pPr>
        <w:spacing w:before="120" w:after="120" w:line="276" w:lineRule="auto"/>
        <w:ind w:left="2355"/>
        <w:rPr>
          <w:szCs w:val="20"/>
        </w:rPr>
      </w:pPr>
      <w:r>
        <w:rPr>
          <w:szCs w:val="20"/>
        </w:rPr>
        <w:t xml:space="preserve">          Plínio Vizeu Pereira Neto</w:t>
      </w:r>
    </w:p>
    <w:p w14:paraId="12EEE580" w14:textId="5B1B9E3D"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247E1B">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6C02" w14:textId="77777777" w:rsidR="00BF15A7" w:rsidRDefault="00BF15A7">
      <w:r>
        <w:separator/>
      </w:r>
    </w:p>
  </w:endnote>
  <w:endnote w:type="continuationSeparator" w:id="0">
    <w:p w14:paraId="295E4DAB" w14:textId="77777777" w:rsidR="00BF15A7" w:rsidRDefault="00BF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29D9" w14:textId="77777777" w:rsidR="006E3091" w:rsidRDefault="006E3091">
    <w:pPr>
      <w:pStyle w:val="Rodap"/>
      <w:rPr>
        <w:sz w:val="12"/>
        <w:szCs w:val="12"/>
      </w:rPr>
    </w:pPr>
  </w:p>
  <w:p w14:paraId="71527474" w14:textId="674AC125"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00514AE0">
      <w:rPr>
        <w:noProof/>
        <w:color w:val="323E4F" w:themeColor="text2" w:themeShade="BF"/>
        <w:sz w:val="18"/>
        <w:szCs w:val="18"/>
      </w:rPr>
      <w:t>13</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00514AE0">
      <w:rPr>
        <w:noProof/>
        <w:color w:val="323E4F" w:themeColor="text2" w:themeShade="BF"/>
        <w:sz w:val="18"/>
        <w:szCs w:val="18"/>
      </w:rPr>
      <w:t>14</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55C0" w14:textId="77777777" w:rsidR="00BF15A7" w:rsidRDefault="00BF15A7">
      <w:r>
        <w:separator/>
      </w:r>
    </w:p>
  </w:footnote>
  <w:footnote w:type="continuationSeparator" w:id="0">
    <w:p w14:paraId="1DFC7941" w14:textId="77777777" w:rsidR="00BF15A7" w:rsidRDefault="00BF1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143488B6"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514AE0">
      <w:rPr>
        <w:rFonts w:cs="Arial"/>
        <w:bCs/>
        <w:color w:val="5B5B5F"/>
        <w:sz w:val="28"/>
        <w:szCs w:val="28"/>
      </w:rPr>
      <w:t>56</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5"/>
  </w:num>
  <w:num w:numId="8">
    <w:abstractNumId w:val="3"/>
  </w:num>
  <w:num w:numId="9">
    <w:abstractNumId w:val="7"/>
  </w:num>
  <w:num w:numId="10">
    <w:abstractNumId w:val="2"/>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A"/>
    <w:rsid w:val="000009AC"/>
    <w:rsid w:val="0000118B"/>
    <w:rsid w:val="00016510"/>
    <w:rsid w:val="00016AF1"/>
    <w:rsid w:val="00017D73"/>
    <w:rsid w:val="00041FC4"/>
    <w:rsid w:val="00054E2A"/>
    <w:rsid w:val="00062CC1"/>
    <w:rsid w:val="00065565"/>
    <w:rsid w:val="0007324C"/>
    <w:rsid w:val="0007710C"/>
    <w:rsid w:val="00087EBD"/>
    <w:rsid w:val="000907E1"/>
    <w:rsid w:val="00097E92"/>
    <w:rsid w:val="000B1A45"/>
    <w:rsid w:val="000B3339"/>
    <w:rsid w:val="000B66BD"/>
    <w:rsid w:val="000D54A9"/>
    <w:rsid w:val="000D675E"/>
    <w:rsid w:val="000F7B98"/>
    <w:rsid w:val="00111387"/>
    <w:rsid w:val="00127714"/>
    <w:rsid w:val="00131D02"/>
    <w:rsid w:val="00152AC9"/>
    <w:rsid w:val="001A10AB"/>
    <w:rsid w:val="001B2F46"/>
    <w:rsid w:val="001B70E4"/>
    <w:rsid w:val="001D2107"/>
    <w:rsid w:val="001D2A12"/>
    <w:rsid w:val="001E08A5"/>
    <w:rsid w:val="001E5350"/>
    <w:rsid w:val="001F177C"/>
    <w:rsid w:val="001F7AF2"/>
    <w:rsid w:val="00205DA9"/>
    <w:rsid w:val="0020703B"/>
    <w:rsid w:val="002129E1"/>
    <w:rsid w:val="00217208"/>
    <w:rsid w:val="0021754E"/>
    <w:rsid w:val="002244D0"/>
    <w:rsid w:val="0023451B"/>
    <w:rsid w:val="0024188C"/>
    <w:rsid w:val="00247E1B"/>
    <w:rsid w:val="00272076"/>
    <w:rsid w:val="002850E4"/>
    <w:rsid w:val="002C6B4B"/>
    <w:rsid w:val="002D6673"/>
    <w:rsid w:val="002F291B"/>
    <w:rsid w:val="00303B9E"/>
    <w:rsid w:val="003052EB"/>
    <w:rsid w:val="0032745E"/>
    <w:rsid w:val="0034340D"/>
    <w:rsid w:val="00360C0F"/>
    <w:rsid w:val="00364FD1"/>
    <w:rsid w:val="00366E09"/>
    <w:rsid w:val="00367EE0"/>
    <w:rsid w:val="00375C9A"/>
    <w:rsid w:val="00387E87"/>
    <w:rsid w:val="00390C1C"/>
    <w:rsid w:val="003A2726"/>
    <w:rsid w:val="003B0E53"/>
    <w:rsid w:val="003B51F1"/>
    <w:rsid w:val="003E7BDA"/>
    <w:rsid w:val="00406DD0"/>
    <w:rsid w:val="004073B0"/>
    <w:rsid w:val="004166A4"/>
    <w:rsid w:val="00421172"/>
    <w:rsid w:val="00430497"/>
    <w:rsid w:val="00437AE5"/>
    <w:rsid w:val="00456DEC"/>
    <w:rsid w:val="0045721D"/>
    <w:rsid w:val="0049086A"/>
    <w:rsid w:val="004A4AEC"/>
    <w:rsid w:val="004B33C5"/>
    <w:rsid w:val="004B367C"/>
    <w:rsid w:val="004D3A3A"/>
    <w:rsid w:val="004D3C0A"/>
    <w:rsid w:val="004D491D"/>
    <w:rsid w:val="004D7ACD"/>
    <w:rsid w:val="004F1ACA"/>
    <w:rsid w:val="00500E3A"/>
    <w:rsid w:val="00505EB6"/>
    <w:rsid w:val="005067B4"/>
    <w:rsid w:val="00506E2D"/>
    <w:rsid w:val="00512E62"/>
    <w:rsid w:val="00514AE0"/>
    <w:rsid w:val="00523ABD"/>
    <w:rsid w:val="005240A6"/>
    <w:rsid w:val="00524483"/>
    <w:rsid w:val="005330E3"/>
    <w:rsid w:val="00542F9D"/>
    <w:rsid w:val="005559B2"/>
    <w:rsid w:val="00562E34"/>
    <w:rsid w:val="005634AF"/>
    <w:rsid w:val="005635CD"/>
    <w:rsid w:val="005639CC"/>
    <w:rsid w:val="005916E2"/>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35A20"/>
    <w:rsid w:val="00644BA4"/>
    <w:rsid w:val="00651FED"/>
    <w:rsid w:val="0065632E"/>
    <w:rsid w:val="00657B45"/>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3305F"/>
    <w:rsid w:val="00740F2F"/>
    <w:rsid w:val="007454BD"/>
    <w:rsid w:val="0076166C"/>
    <w:rsid w:val="007709AE"/>
    <w:rsid w:val="007736C3"/>
    <w:rsid w:val="0077790A"/>
    <w:rsid w:val="00781AFF"/>
    <w:rsid w:val="007965E1"/>
    <w:rsid w:val="007A0EF7"/>
    <w:rsid w:val="007A564C"/>
    <w:rsid w:val="007C79B1"/>
    <w:rsid w:val="007D4A73"/>
    <w:rsid w:val="007D703D"/>
    <w:rsid w:val="007E1601"/>
    <w:rsid w:val="008024D5"/>
    <w:rsid w:val="00811427"/>
    <w:rsid w:val="00815E61"/>
    <w:rsid w:val="008218EB"/>
    <w:rsid w:val="0082304D"/>
    <w:rsid w:val="00826578"/>
    <w:rsid w:val="00851805"/>
    <w:rsid w:val="00855A8A"/>
    <w:rsid w:val="008618BD"/>
    <w:rsid w:val="00871D18"/>
    <w:rsid w:val="00893BEC"/>
    <w:rsid w:val="008946DB"/>
    <w:rsid w:val="008978BA"/>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562E2"/>
    <w:rsid w:val="009601B3"/>
    <w:rsid w:val="00970B73"/>
    <w:rsid w:val="00971B69"/>
    <w:rsid w:val="00980958"/>
    <w:rsid w:val="00983481"/>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505B"/>
    <w:rsid w:val="00A65EB2"/>
    <w:rsid w:val="00A80F2C"/>
    <w:rsid w:val="00A924D9"/>
    <w:rsid w:val="00A97A05"/>
    <w:rsid w:val="00AE4034"/>
    <w:rsid w:val="00AE656C"/>
    <w:rsid w:val="00B06711"/>
    <w:rsid w:val="00B14073"/>
    <w:rsid w:val="00B20B20"/>
    <w:rsid w:val="00B24029"/>
    <w:rsid w:val="00B4386C"/>
    <w:rsid w:val="00B43AA7"/>
    <w:rsid w:val="00B44A76"/>
    <w:rsid w:val="00B57E8D"/>
    <w:rsid w:val="00B7120D"/>
    <w:rsid w:val="00B71F51"/>
    <w:rsid w:val="00B85D5B"/>
    <w:rsid w:val="00B87589"/>
    <w:rsid w:val="00B91D74"/>
    <w:rsid w:val="00BB08AD"/>
    <w:rsid w:val="00BB3305"/>
    <w:rsid w:val="00BC4FDE"/>
    <w:rsid w:val="00BD11F6"/>
    <w:rsid w:val="00BD16B6"/>
    <w:rsid w:val="00BD66CF"/>
    <w:rsid w:val="00BE11CF"/>
    <w:rsid w:val="00BE523B"/>
    <w:rsid w:val="00BF0EE1"/>
    <w:rsid w:val="00BF15A7"/>
    <w:rsid w:val="00BF5461"/>
    <w:rsid w:val="00BF5541"/>
    <w:rsid w:val="00C074DA"/>
    <w:rsid w:val="00C157E7"/>
    <w:rsid w:val="00C2321C"/>
    <w:rsid w:val="00C35A80"/>
    <w:rsid w:val="00C40AB4"/>
    <w:rsid w:val="00C40E5B"/>
    <w:rsid w:val="00C607DE"/>
    <w:rsid w:val="00C65850"/>
    <w:rsid w:val="00C66652"/>
    <w:rsid w:val="00C7285C"/>
    <w:rsid w:val="00C83B89"/>
    <w:rsid w:val="00C92A02"/>
    <w:rsid w:val="00C933EC"/>
    <w:rsid w:val="00CE5CE1"/>
    <w:rsid w:val="00CE7E52"/>
    <w:rsid w:val="00D00CE3"/>
    <w:rsid w:val="00D078A9"/>
    <w:rsid w:val="00D21124"/>
    <w:rsid w:val="00D22AA6"/>
    <w:rsid w:val="00D3140D"/>
    <w:rsid w:val="00D5125B"/>
    <w:rsid w:val="00D52B5C"/>
    <w:rsid w:val="00D55A2C"/>
    <w:rsid w:val="00D55C0E"/>
    <w:rsid w:val="00D64F5C"/>
    <w:rsid w:val="00D93B2A"/>
    <w:rsid w:val="00D975FC"/>
    <w:rsid w:val="00DA6A99"/>
    <w:rsid w:val="00DB2FBB"/>
    <w:rsid w:val="00DC2F69"/>
    <w:rsid w:val="00DE39AC"/>
    <w:rsid w:val="00DE39B4"/>
    <w:rsid w:val="00DE435B"/>
    <w:rsid w:val="00DF0EAB"/>
    <w:rsid w:val="00DF71A5"/>
    <w:rsid w:val="00E10EB8"/>
    <w:rsid w:val="00E11598"/>
    <w:rsid w:val="00E11CCB"/>
    <w:rsid w:val="00E11EB5"/>
    <w:rsid w:val="00E17CF4"/>
    <w:rsid w:val="00E3173D"/>
    <w:rsid w:val="00E32E6B"/>
    <w:rsid w:val="00E44248"/>
    <w:rsid w:val="00E5338A"/>
    <w:rsid w:val="00E61B3D"/>
    <w:rsid w:val="00E86A2A"/>
    <w:rsid w:val="00E86B6B"/>
    <w:rsid w:val="00EB1AF7"/>
    <w:rsid w:val="00ED7D2E"/>
    <w:rsid w:val="00EE6F88"/>
    <w:rsid w:val="00F14A99"/>
    <w:rsid w:val="00F14B8A"/>
    <w:rsid w:val="00F15B2F"/>
    <w:rsid w:val="00F21934"/>
    <w:rsid w:val="00F21BF9"/>
    <w:rsid w:val="00F37C6B"/>
    <w:rsid w:val="00F437CF"/>
    <w:rsid w:val="00F54700"/>
    <w:rsid w:val="00F54FDC"/>
    <w:rsid w:val="00F64E21"/>
    <w:rsid w:val="00F67805"/>
    <w:rsid w:val="00F67B43"/>
    <w:rsid w:val="00F76824"/>
    <w:rsid w:val="00F859C4"/>
    <w:rsid w:val="00F86E08"/>
    <w:rsid w:val="00F87CCF"/>
    <w:rsid w:val="00F933D7"/>
    <w:rsid w:val="00F968E8"/>
    <w:rsid w:val="00F977C7"/>
    <w:rsid w:val="00FA7005"/>
    <w:rsid w:val="00FB4A0E"/>
    <w:rsid w:val="00FC2BAD"/>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7028">
      <w:bodyDiv w:val="1"/>
      <w:marLeft w:val="0"/>
      <w:marRight w:val="0"/>
      <w:marTop w:val="0"/>
      <w:marBottom w:val="0"/>
      <w:divBdr>
        <w:top w:val="none" w:sz="0" w:space="0" w:color="auto"/>
        <w:left w:val="none" w:sz="0" w:space="0" w:color="auto"/>
        <w:bottom w:val="none" w:sz="0" w:space="0" w:color="auto"/>
        <w:right w:val="none" w:sz="0" w:space="0" w:color="auto"/>
      </w:divBdr>
    </w:div>
    <w:div w:id="1317031002">
      <w:bodyDiv w:val="1"/>
      <w:marLeft w:val="0"/>
      <w:marRight w:val="0"/>
      <w:marTop w:val="0"/>
      <w:marBottom w:val="0"/>
      <w:divBdr>
        <w:top w:val="none" w:sz="0" w:space="0" w:color="auto"/>
        <w:left w:val="none" w:sz="0" w:space="0" w:color="auto"/>
        <w:bottom w:val="none" w:sz="0" w:space="0" w:color="auto"/>
        <w:right w:val="none" w:sz="0" w:space="0" w:color="auto"/>
      </w:divBdr>
    </w:div>
    <w:div w:id="1431898974">
      <w:bodyDiv w:val="1"/>
      <w:marLeft w:val="0"/>
      <w:marRight w:val="0"/>
      <w:marTop w:val="0"/>
      <w:marBottom w:val="0"/>
      <w:divBdr>
        <w:top w:val="none" w:sz="0" w:space="0" w:color="auto"/>
        <w:left w:val="none" w:sz="0" w:space="0" w:color="auto"/>
        <w:bottom w:val="none" w:sz="0" w:space="0" w:color="auto"/>
        <w:right w:val="none" w:sz="0" w:space="0" w:color="auto"/>
      </w:divBdr>
    </w:div>
    <w:div w:id="21310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D2E8-F211-4D1A-BA1D-4AEE3388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5809</Words>
  <Characters>31372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2024-04-09T14:47:00Z</dcterms:created>
  <dcterms:modified xsi:type="dcterms:W3CDTF">2024-06-28T13:50:00Z</dcterms:modified>
</cp:coreProperties>
</file>